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Ind w:w="5" w:type="dxa"/>
        <w:tblLayout w:type="fixed"/>
        <w:tblCellMar>
          <w:left w:w="0" w:type="dxa"/>
          <w:right w:w="0" w:type="dxa"/>
        </w:tblCellMar>
        <w:tblLook w:val="0000" w:firstRow="0" w:lastRow="0" w:firstColumn="0" w:lastColumn="0" w:noHBand="0" w:noVBand="0"/>
      </w:tblPr>
      <w:tblGrid>
        <w:gridCol w:w="1413"/>
        <w:gridCol w:w="2693"/>
        <w:gridCol w:w="4820"/>
      </w:tblGrid>
      <w:tr w:rsidR="00814110" w14:paraId="5E295D96" w14:textId="77777777" w:rsidTr="00177F9E">
        <w:trPr>
          <w:trHeight w:val="139"/>
        </w:trPr>
        <w:tc>
          <w:tcPr>
            <w:tcW w:w="1413" w:type="dxa"/>
            <w:shd w:val="clear" w:color="auto" w:fill="FFFFFF" w:themeFill="background1"/>
          </w:tcPr>
          <w:p w14:paraId="3A961A3C" w14:textId="1352449D" w:rsidR="00814110" w:rsidRPr="00D91F41" w:rsidRDefault="06A833AA" w:rsidP="45A1A21B">
            <w:pPr>
              <w:widowControl w:val="0"/>
              <w:autoSpaceDE w:val="0"/>
              <w:autoSpaceDN w:val="0"/>
              <w:adjustRightInd w:val="0"/>
              <w:spacing w:after="0" w:line="240" w:lineRule="auto"/>
              <w:ind w:right="108"/>
              <w:rPr>
                <w:rFonts w:ascii="Open Sans" w:eastAsia="Open Sans" w:hAnsi="Open Sans" w:cs="Open Sans"/>
                <w:sz w:val="16"/>
                <w:szCs w:val="16"/>
              </w:rPr>
            </w:pPr>
            <w:bookmarkStart w:id="0" w:name="_Hlk144716413"/>
            <w:r w:rsidRPr="45A1A21B">
              <w:rPr>
                <w:rFonts w:ascii="Open Sans" w:eastAsia="Open Sans" w:hAnsi="Open Sans" w:cs="Open Sans"/>
                <w:color w:val="000000" w:themeColor="text1"/>
                <w:sz w:val="16"/>
                <w:szCs w:val="16"/>
              </w:rPr>
              <w:t>DATE</w:t>
            </w:r>
          </w:p>
        </w:tc>
        <w:tc>
          <w:tcPr>
            <w:tcW w:w="2693" w:type="dxa"/>
            <w:shd w:val="clear" w:color="auto" w:fill="FFFFFF" w:themeFill="background1"/>
          </w:tcPr>
          <w:p w14:paraId="2B7947C4" w14:textId="6941D453" w:rsidR="00814110" w:rsidRPr="005C0D82" w:rsidRDefault="00522B3D" w:rsidP="00B019DB">
            <w:pPr>
              <w:widowControl w:val="0"/>
              <w:autoSpaceDE w:val="0"/>
              <w:autoSpaceDN w:val="0"/>
              <w:adjustRightInd w:val="0"/>
              <w:spacing w:after="0" w:line="240" w:lineRule="auto"/>
              <w:ind w:right="108"/>
              <w:rPr>
                <w:rFonts w:ascii="Open Sans" w:hAnsi="Open Sans" w:cs="Open Sans"/>
                <w:color w:val="000000"/>
                <w:sz w:val="16"/>
                <w:szCs w:val="16"/>
              </w:rPr>
            </w:pPr>
            <w:r>
              <w:rPr>
                <w:rFonts w:ascii="Open Sans" w:hAnsi="Open Sans" w:cs="Open Sans"/>
                <w:color w:val="000000"/>
                <w:sz w:val="16"/>
                <w:szCs w:val="16"/>
              </w:rPr>
              <w:t xml:space="preserve">30 </w:t>
            </w:r>
            <w:r w:rsidR="007C78CA">
              <w:rPr>
                <w:rFonts w:ascii="Open Sans" w:hAnsi="Open Sans" w:cs="Open Sans"/>
                <w:color w:val="000000"/>
                <w:sz w:val="16"/>
                <w:szCs w:val="16"/>
              </w:rPr>
              <w:t>septembre 2025</w:t>
            </w:r>
          </w:p>
        </w:tc>
        <w:tc>
          <w:tcPr>
            <w:tcW w:w="4820" w:type="dxa"/>
            <w:vMerge w:val="restart"/>
          </w:tcPr>
          <w:p w14:paraId="66C2E71E" w14:textId="77777777" w:rsidR="00814110" w:rsidRDefault="00814110" w:rsidP="00B019DB">
            <w:pPr>
              <w:widowControl w:val="0"/>
              <w:autoSpaceDE w:val="0"/>
              <w:autoSpaceDN w:val="0"/>
              <w:adjustRightInd w:val="0"/>
              <w:spacing w:after="0" w:line="240" w:lineRule="auto"/>
              <w:rPr>
                <w:rFonts w:ascii="Garamond" w:hAnsi="Garamond" w:cs="Garamond"/>
                <w:b/>
                <w:bCs/>
                <w:color w:val="000000"/>
                <w:sz w:val="28"/>
                <w:szCs w:val="28"/>
              </w:rPr>
            </w:pPr>
          </w:p>
        </w:tc>
      </w:tr>
      <w:tr w:rsidR="00814110" w14:paraId="4CD90C5A" w14:textId="77777777" w:rsidTr="00177F9E">
        <w:trPr>
          <w:trHeight w:val="139"/>
        </w:trPr>
        <w:tc>
          <w:tcPr>
            <w:tcW w:w="1413" w:type="dxa"/>
            <w:shd w:val="clear" w:color="auto" w:fill="FFFFFF" w:themeFill="background1"/>
          </w:tcPr>
          <w:p w14:paraId="4D21757B" w14:textId="77777777" w:rsidR="00814110" w:rsidRPr="00D91F41" w:rsidRDefault="00814110" w:rsidP="00B019DB">
            <w:pPr>
              <w:widowControl w:val="0"/>
              <w:autoSpaceDE w:val="0"/>
              <w:autoSpaceDN w:val="0"/>
              <w:adjustRightInd w:val="0"/>
              <w:spacing w:after="0" w:line="240" w:lineRule="auto"/>
              <w:ind w:right="108"/>
              <w:rPr>
                <w:rFonts w:ascii="Open Sans" w:hAnsi="Open Sans" w:cs="Open Sans"/>
                <w:color w:val="000000"/>
                <w:sz w:val="16"/>
                <w:szCs w:val="16"/>
              </w:rPr>
            </w:pPr>
            <w:r w:rsidRPr="008968D3">
              <w:rPr>
                <w:rFonts w:ascii="Open Sans" w:hAnsi="Open Sans" w:cs="Open Sans"/>
                <w:color w:val="000000"/>
                <w:sz w:val="16"/>
                <w:szCs w:val="16"/>
              </w:rPr>
              <w:t>CONTACT</w:t>
            </w:r>
          </w:p>
        </w:tc>
        <w:tc>
          <w:tcPr>
            <w:tcW w:w="2693" w:type="dxa"/>
            <w:shd w:val="clear" w:color="auto" w:fill="FFFFFF" w:themeFill="background1"/>
          </w:tcPr>
          <w:p w14:paraId="17A4CB66" w14:textId="5CF18CBC" w:rsidR="00814110" w:rsidRPr="005C0D82" w:rsidRDefault="00FF3529" w:rsidP="00FF3529">
            <w:pPr>
              <w:widowControl w:val="0"/>
              <w:autoSpaceDE w:val="0"/>
              <w:autoSpaceDN w:val="0"/>
              <w:adjustRightInd w:val="0"/>
              <w:spacing w:after="0" w:line="240" w:lineRule="auto"/>
              <w:ind w:left="-522" w:right="108" w:firstLine="522"/>
              <w:rPr>
                <w:rFonts w:ascii="Open Sans" w:hAnsi="Open Sans" w:cs="Open Sans"/>
                <w:color w:val="000000"/>
                <w:sz w:val="16"/>
                <w:szCs w:val="16"/>
              </w:rPr>
            </w:pPr>
            <w:r>
              <w:rPr>
                <w:rFonts w:ascii="Open Sans" w:hAnsi="Open Sans" w:cs="Open Sans"/>
                <w:color w:val="000000"/>
                <w:sz w:val="16"/>
                <w:szCs w:val="16"/>
              </w:rPr>
              <w:t>regine.wilmotte@health.fgov.be</w:t>
            </w:r>
          </w:p>
        </w:tc>
        <w:tc>
          <w:tcPr>
            <w:tcW w:w="4820" w:type="dxa"/>
            <w:vMerge/>
          </w:tcPr>
          <w:p w14:paraId="281BC81F" w14:textId="77777777" w:rsidR="00814110" w:rsidRDefault="00814110" w:rsidP="00B019DB">
            <w:pPr>
              <w:widowControl w:val="0"/>
              <w:autoSpaceDE w:val="0"/>
              <w:autoSpaceDN w:val="0"/>
              <w:adjustRightInd w:val="0"/>
              <w:spacing w:after="0" w:line="240" w:lineRule="auto"/>
              <w:rPr>
                <w:rFonts w:ascii="Garamond" w:hAnsi="Garamond" w:cs="Garamond"/>
                <w:b/>
                <w:bCs/>
                <w:color w:val="000000"/>
                <w:sz w:val="28"/>
                <w:szCs w:val="28"/>
              </w:rPr>
            </w:pPr>
          </w:p>
        </w:tc>
      </w:tr>
      <w:tr w:rsidR="00814110" w14:paraId="5E4C5A31" w14:textId="77777777" w:rsidTr="00177F9E">
        <w:trPr>
          <w:trHeight w:val="279"/>
        </w:trPr>
        <w:tc>
          <w:tcPr>
            <w:tcW w:w="1413" w:type="dxa"/>
            <w:shd w:val="clear" w:color="auto" w:fill="FFFFFF" w:themeFill="background1"/>
          </w:tcPr>
          <w:p w14:paraId="3DBBB049" w14:textId="77777777" w:rsidR="00814110" w:rsidRDefault="00814110" w:rsidP="00B019DB">
            <w:pPr>
              <w:widowControl w:val="0"/>
              <w:autoSpaceDE w:val="0"/>
              <w:autoSpaceDN w:val="0"/>
              <w:adjustRightInd w:val="0"/>
              <w:spacing w:after="0" w:line="240" w:lineRule="auto"/>
              <w:ind w:left="108" w:right="108"/>
              <w:rPr>
                <w:rFonts w:ascii="Arial" w:hAnsi="Arial" w:cs="Arial"/>
                <w:sz w:val="24"/>
                <w:szCs w:val="24"/>
              </w:rPr>
            </w:pPr>
          </w:p>
        </w:tc>
        <w:tc>
          <w:tcPr>
            <w:tcW w:w="2693" w:type="dxa"/>
            <w:shd w:val="clear" w:color="auto" w:fill="FFFFFF" w:themeFill="background1"/>
          </w:tcPr>
          <w:p w14:paraId="6466C752" w14:textId="50E3BB9F" w:rsidR="00814110" w:rsidRPr="005C0D82" w:rsidRDefault="00814110" w:rsidP="00B019DB">
            <w:pPr>
              <w:widowControl w:val="0"/>
              <w:autoSpaceDE w:val="0"/>
              <w:autoSpaceDN w:val="0"/>
              <w:adjustRightInd w:val="0"/>
              <w:spacing w:after="0" w:line="240" w:lineRule="auto"/>
              <w:ind w:right="108"/>
              <w:rPr>
                <w:rFonts w:ascii="Open Sans" w:hAnsi="Open Sans" w:cs="Open Sans"/>
                <w:color w:val="000000"/>
                <w:sz w:val="16"/>
                <w:szCs w:val="16"/>
              </w:rPr>
            </w:pPr>
          </w:p>
        </w:tc>
        <w:tc>
          <w:tcPr>
            <w:tcW w:w="4820" w:type="dxa"/>
            <w:vMerge/>
          </w:tcPr>
          <w:p w14:paraId="55F976B8" w14:textId="77777777" w:rsidR="00814110" w:rsidRDefault="00814110" w:rsidP="00B019DB">
            <w:pPr>
              <w:widowControl w:val="0"/>
              <w:autoSpaceDE w:val="0"/>
              <w:autoSpaceDN w:val="0"/>
              <w:adjustRightInd w:val="0"/>
              <w:spacing w:after="0" w:line="240" w:lineRule="auto"/>
              <w:rPr>
                <w:rFonts w:ascii="Garamond" w:hAnsi="Garamond" w:cs="Garamond"/>
                <w:b/>
                <w:bCs/>
                <w:color w:val="000000"/>
                <w:sz w:val="28"/>
                <w:szCs w:val="28"/>
              </w:rPr>
            </w:pPr>
          </w:p>
        </w:tc>
      </w:tr>
      <w:tr w:rsidR="00814110" w14:paraId="4017D5F4" w14:textId="77777777" w:rsidTr="00177F9E">
        <w:trPr>
          <w:trHeight w:val="35"/>
        </w:trPr>
        <w:tc>
          <w:tcPr>
            <w:tcW w:w="1413" w:type="dxa"/>
            <w:shd w:val="clear" w:color="auto" w:fill="FFFFFF" w:themeFill="background1"/>
          </w:tcPr>
          <w:p w14:paraId="322CF27A" w14:textId="77777777" w:rsidR="00814110" w:rsidRDefault="00814110" w:rsidP="00B019DB">
            <w:pPr>
              <w:widowControl w:val="0"/>
              <w:autoSpaceDE w:val="0"/>
              <w:autoSpaceDN w:val="0"/>
              <w:adjustRightInd w:val="0"/>
              <w:spacing w:after="0" w:line="240" w:lineRule="auto"/>
              <w:ind w:left="108" w:right="108"/>
              <w:rPr>
                <w:rFonts w:ascii="Arial" w:hAnsi="Arial" w:cs="Arial"/>
                <w:sz w:val="24"/>
                <w:szCs w:val="24"/>
              </w:rPr>
            </w:pPr>
          </w:p>
        </w:tc>
        <w:tc>
          <w:tcPr>
            <w:tcW w:w="2693" w:type="dxa"/>
            <w:shd w:val="clear" w:color="auto" w:fill="FFFFFF" w:themeFill="background1"/>
          </w:tcPr>
          <w:p w14:paraId="015F02A6" w14:textId="62293CD9" w:rsidR="00814110" w:rsidRPr="005C0D82" w:rsidRDefault="00814110" w:rsidP="00B019DB">
            <w:pPr>
              <w:widowControl w:val="0"/>
              <w:autoSpaceDE w:val="0"/>
              <w:autoSpaceDN w:val="0"/>
              <w:adjustRightInd w:val="0"/>
              <w:spacing w:after="0" w:line="240" w:lineRule="auto"/>
              <w:ind w:right="108"/>
              <w:rPr>
                <w:rFonts w:ascii="Open Sans" w:hAnsi="Open Sans" w:cs="Open Sans"/>
                <w:color w:val="000000"/>
                <w:sz w:val="16"/>
                <w:szCs w:val="16"/>
              </w:rPr>
            </w:pPr>
          </w:p>
        </w:tc>
        <w:tc>
          <w:tcPr>
            <w:tcW w:w="4820" w:type="dxa"/>
            <w:vMerge/>
          </w:tcPr>
          <w:p w14:paraId="34F542FE" w14:textId="77777777" w:rsidR="00814110" w:rsidRDefault="00814110" w:rsidP="00B019DB">
            <w:pPr>
              <w:widowControl w:val="0"/>
              <w:autoSpaceDE w:val="0"/>
              <w:autoSpaceDN w:val="0"/>
              <w:adjustRightInd w:val="0"/>
              <w:spacing w:after="0" w:line="240" w:lineRule="auto"/>
              <w:rPr>
                <w:rFonts w:ascii="Garamond" w:hAnsi="Garamond" w:cs="Garamond"/>
                <w:b/>
                <w:bCs/>
                <w:color w:val="000000"/>
                <w:sz w:val="28"/>
                <w:szCs w:val="28"/>
              </w:rPr>
            </w:pPr>
          </w:p>
        </w:tc>
      </w:tr>
      <w:bookmarkEnd w:id="0"/>
    </w:tbl>
    <w:p w14:paraId="5FF5B863" w14:textId="77777777" w:rsidR="00D806C6" w:rsidRDefault="00D806C6" w:rsidP="0026463D">
      <w:pPr>
        <w:pStyle w:val="NormalWeb"/>
        <w:shd w:val="clear" w:color="auto" w:fill="FFFFFF"/>
        <w:spacing w:before="0" w:beforeAutospacing="0" w:after="225" w:afterAutospacing="0"/>
        <w:jc w:val="both"/>
        <w:rPr>
          <w:rFonts w:ascii="Open Sans" w:hAnsi="Open Sans" w:cs="Open Sans"/>
          <w:color w:val="000000"/>
          <w:sz w:val="22"/>
          <w:szCs w:val="22"/>
          <w:lang w:val="fr-BE"/>
        </w:rPr>
      </w:pPr>
    </w:p>
    <w:p w14:paraId="3DDE8B11" w14:textId="7BFCE186" w:rsidR="00F26717" w:rsidRPr="00F26717" w:rsidRDefault="00FF3529" w:rsidP="00F26717">
      <w:pPr>
        <w:pStyle w:val="NormalWeb"/>
        <w:shd w:val="clear" w:color="auto" w:fill="FFFFFF"/>
        <w:spacing w:before="0" w:beforeAutospacing="0" w:after="225" w:afterAutospacing="0"/>
        <w:jc w:val="both"/>
        <w:rPr>
          <w:rFonts w:ascii="Open Sans" w:hAnsi="Open Sans" w:cs="Open Sans"/>
          <w:b/>
          <w:bCs/>
          <w:color w:val="000000"/>
          <w:sz w:val="20"/>
          <w:szCs w:val="20"/>
          <w:lang w:val="en-US"/>
        </w:rPr>
      </w:pPr>
      <w:proofErr w:type="spellStart"/>
      <w:r w:rsidRPr="00F26717">
        <w:rPr>
          <w:rFonts w:ascii="Open Sans" w:hAnsi="Open Sans" w:cs="Open Sans"/>
          <w:b/>
          <w:bCs/>
          <w:color w:val="000000"/>
          <w:sz w:val="20"/>
          <w:szCs w:val="20"/>
          <w:lang w:val="en-US"/>
        </w:rPr>
        <w:t>Objet</w:t>
      </w:r>
      <w:proofErr w:type="spellEnd"/>
      <w:r w:rsidRPr="00F26717">
        <w:rPr>
          <w:rFonts w:ascii="Open Sans" w:hAnsi="Open Sans" w:cs="Open Sans"/>
          <w:b/>
          <w:bCs/>
          <w:color w:val="000000"/>
          <w:sz w:val="20"/>
          <w:szCs w:val="20"/>
          <w:lang w:val="en-US"/>
        </w:rPr>
        <w:t xml:space="preserve"> : </w:t>
      </w:r>
      <w:proofErr w:type="spellStart"/>
      <w:r w:rsidR="00F26717" w:rsidRPr="00F26717">
        <w:rPr>
          <w:rFonts w:ascii="Open Sans" w:hAnsi="Open Sans" w:cs="Open Sans"/>
          <w:b/>
          <w:bCs/>
          <w:color w:val="000000"/>
          <w:sz w:val="20"/>
          <w:szCs w:val="20"/>
          <w:lang w:val="en-US"/>
        </w:rPr>
        <w:t>Projet</w:t>
      </w:r>
      <w:proofErr w:type="spellEnd"/>
      <w:r w:rsidR="00F26717" w:rsidRPr="00F26717">
        <w:rPr>
          <w:rFonts w:ascii="Open Sans" w:hAnsi="Open Sans" w:cs="Open Sans"/>
          <w:b/>
          <w:bCs/>
          <w:color w:val="000000"/>
          <w:sz w:val="20"/>
          <w:szCs w:val="20"/>
          <w:lang w:val="en-US"/>
        </w:rPr>
        <w:t xml:space="preserve"> care set patient will</w:t>
      </w:r>
      <w:r w:rsidR="009D5198">
        <w:rPr>
          <w:rFonts w:ascii="Open Sans" w:hAnsi="Open Sans" w:cs="Open Sans"/>
          <w:b/>
          <w:bCs/>
          <w:color w:val="000000"/>
          <w:sz w:val="20"/>
          <w:szCs w:val="20"/>
          <w:lang w:val="en-US"/>
        </w:rPr>
        <w:t xml:space="preserve">  </w:t>
      </w:r>
    </w:p>
    <w:p w14:paraId="20EADCE4" w14:textId="77777777" w:rsidR="00522B3D" w:rsidRPr="009D5198" w:rsidRDefault="00522B3D" w:rsidP="00DF0859">
      <w:pPr>
        <w:pStyle w:val="NormalWeb"/>
        <w:shd w:val="clear" w:color="auto" w:fill="FFFFFF"/>
        <w:spacing w:before="0" w:beforeAutospacing="0" w:after="225" w:afterAutospacing="0"/>
        <w:jc w:val="both"/>
        <w:rPr>
          <w:rFonts w:ascii="Calibri" w:hAnsi="Calibri" w:cs="Calibri"/>
          <w:color w:val="000000"/>
          <w:sz w:val="22"/>
          <w:szCs w:val="22"/>
          <w:lang w:val="en-US"/>
        </w:rPr>
      </w:pPr>
    </w:p>
    <w:p w14:paraId="3DC61720" w14:textId="5E273360" w:rsidR="00AF7E2E" w:rsidRDefault="00F26717" w:rsidP="00DF0859">
      <w:pPr>
        <w:pStyle w:val="NormalWeb"/>
        <w:shd w:val="clear" w:color="auto" w:fill="FFFFFF"/>
        <w:spacing w:before="0" w:beforeAutospacing="0" w:after="225" w:afterAutospacing="0"/>
        <w:jc w:val="both"/>
        <w:rPr>
          <w:rFonts w:ascii="Calibri" w:hAnsi="Calibri" w:cs="Calibri"/>
          <w:color w:val="000000"/>
          <w:sz w:val="22"/>
          <w:szCs w:val="22"/>
          <w:lang w:val="fr-BE"/>
        </w:rPr>
      </w:pPr>
      <w:r w:rsidRPr="00522B3D">
        <w:rPr>
          <w:rFonts w:ascii="Calibri" w:hAnsi="Calibri" w:cs="Calibri"/>
          <w:color w:val="000000"/>
          <w:sz w:val="22"/>
          <w:szCs w:val="22"/>
          <w:lang w:val="fr-BE"/>
        </w:rPr>
        <w:t xml:space="preserve">La présente note vise à faire un </w:t>
      </w:r>
      <w:r w:rsidR="007C78CA" w:rsidRPr="00522B3D">
        <w:rPr>
          <w:rFonts w:ascii="Calibri" w:hAnsi="Calibri" w:cs="Calibri"/>
          <w:color w:val="000000"/>
          <w:sz w:val="22"/>
          <w:szCs w:val="22"/>
          <w:lang w:val="fr-BE"/>
        </w:rPr>
        <w:t xml:space="preserve">état des lieux des déclarations anticipées </w:t>
      </w:r>
      <w:r w:rsidRPr="00522B3D">
        <w:rPr>
          <w:rFonts w:ascii="Calibri" w:hAnsi="Calibri" w:cs="Calibri"/>
          <w:color w:val="000000"/>
          <w:sz w:val="22"/>
          <w:szCs w:val="22"/>
          <w:lang w:val="fr-BE"/>
        </w:rPr>
        <w:t>de volonté des patients/citoyens</w:t>
      </w:r>
      <w:r w:rsidR="00522B3D" w:rsidRPr="00522B3D">
        <w:rPr>
          <w:rFonts w:ascii="Calibri" w:hAnsi="Calibri" w:cs="Calibri"/>
          <w:color w:val="000000"/>
          <w:sz w:val="22"/>
          <w:szCs w:val="22"/>
          <w:lang w:val="fr-BE"/>
        </w:rPr>
        <w:t xml:space="preserve">. </w:t>
      </w:r>
      <w:r w:rsidR="00AF7E2E" w:rsidRPr="00522B3D">
        <w:rPr>
          <w:rFonts w:ascii="Calibri" w:hAnsi="Calibri" w:cs="Calibri"/>
          <w:color w:val="000000"/>
          <w:sz w:val="22"/>
          <w:szCs w:val="22"/>
          <w:lang w:val="fr-BE"/>
        </w:rPr>
        <w:t>Celles-ci sont issues de législations différentes et répondent à des finalités particulières.</w:t>
      </w:r>
    </w:p>
    <w:p w14:paraId="4E262A0E" w14:textId="77777777" w:rsidR="00522B3D" w:rsidRPr="00522B3D" w:rsidRDefault="00522B3D" w:rsidP="00DF0859">
      <w:pPr>
        <w:pStyle w:val="NormalWeb"/>
        <w:shd w:val="clear" w:color="auto" w:fill="FFFFFF"/>
        <w:spacing w:before="0" w:beforeAutospacing="0" w:after="225" w:afterAutospacing="0"/>
        <w:jc w:val="both"/>
        <w:rPr>
          <w:rFonts w:ascii="Calibri" w:hAnsi="Calibri" w:cs="Calibri"/>
          <w:color w:val="000000"/>
          <w:sz w:val="22"/>
          <w:szCs w:val="22"/>
          <w:lang w:val="fr-BE"/>
        </w:rPr>
      </w:pPr>
    </w:p>
    <w:p w14:paraId="38C966B1" w14:textId="1D5C07C5" w:rsidR="00F7787A" w:rsidRPr="00E46812" w:rsidRDefault="007C78CA" w:rsidP="00F7787A">
      <w:pPr>
        <w:pStyle w:val="Sansinterligne"/>
        <w:numPr>
          <w:ilvl w:val="0"/>
          <w:numId w:val="3"/>
        </w:numPr>
        <w:rPr>
          <w:b/>
          <w:bCs/>
          <w:lang w:val="fr-BE"/>
        </w:rPr>
      </w:pPr>
      <w:r>
        <w:rPr>
          <w:b/>
          <w:bCs/>
          <w:lang w:val="fr-BE"/>
        </w:rPr>
        <w:t xml:space="preserve">Déclarations </w:t>
      </w:r>
      <w:r w:rsidR="00113EBA">
        <w:rPr>
          <w:b/>
          <w:bCs/>
          <w:lang w:val="fr-BE"/>
        </w:rPr>
        <w:t xml:space="preserve">don de cops à la science </w:t>
      </w:r>
      <w:r>
        <w:rPr>
          <w:b/>
          <w:bCs/>
          <w:lang w:val="fr-BE"/>
        </w:rPr>
        <w:t xml:space="preserve"> </w:t>
      </w:r>
    </w:p>
    <w:p w14:paraId="217571F7" w14:textId="77777777" w:rsidR="00F7787A" w:rsidRPr="00B310B2" w:rsidRDefault="00F7787A" w:rsidP="00F7787A">
      <w:pPr>
        <w:pStyle w:val="Sansinterligne"/>
        <w:ind w:left="720"/>
        <w:jc w:val="both"/>
        <w:rPr>
          <w:lang w:val="fr-BE"/>
        </w:rPr>
      </w:pPr>
    </w:p>
    <w:p w14:paraId="2E3D5ADF" w14:textId="3BC5FD7B" w:rsidR="006524DE" w:rsidRDefault="00935968" w:rsidP="00935968">
      <w:pPr>
        <w:pStyle w:val="Sansinterligne"/>
        <w:jc w:val="both"/>
        <w:rPr>
          <w:lang w:val="fr-BE"/>
        </w:rPr>
      </w:pPr>
      <w:r>
        <w:rPr>
          <w:lang w:val="fr-BE"/>
        </w:rPr>
        <w:t xml:space="preserve">Les modalités </w:t>
      </w:r>
      <w:r w:rsidR="00406F00">
        <w:rPr>
          <w:lang w:val="fr-BE"/>
        </w:rPr>
        <w:t xml:space="preserve">relatives </w:t>
      </w:r>
      <w:r w:rsidR="00406F00" w:rsidRPr="00FC50D0">
        <w:rPr>
          <w:lang w:val="fr-BE"/>
        </w:rPr>
        <w:t>au</w:t>
      </w:r>
      <w:r w:rsidRPr="00FC50D0">
        <w:rPr>
          <w:lang w:val="fr-BE"/>
        </w:rPr>
        <w:t xml:space="preserve"> d</w:t>
      </w:r>
      <w:r w:rsidR="007C78CA" w:rsidRPr="00FC50D0">
        <w:rPr>
          <w:lang w:val="fr-BE"/>
        </w:rPr>
        <w:t>on de corps à la science</w:t>
      </w:r>
      <w:r w:rsidR="007C78CA">
        <w:rPr>
          <w:lang w:val="fr-BE"/>
        </w:rPr>
        <w:t xml:space="preserve"> </w:t>
      </w:r>
      <w:r w:rsidR="008B4573">
        <w:rPr>
          <w:lang w:val="fr-BE"/>
        </w:rPr>
        <w:t xml:space="preserve">à </w:t>
      </w:r>
      <w:r w:rsidR="008B4573" w:rsidRPr="00FC50D0">
        <w:rPr>
          <w:b/>
          <w:bCs/>
          <w:lang w:val="fr-BE"/>
        </w:rPr>
        <w:t>des fin</w:t>
      </w:r>
      <w:r w:rsidR="00DF0859" w:rsidRPr="00FC50D0">
        <w:rPr>
          <w:b/>
          <w:bCs/>
          <w:lang w:val="fr-BE"/>
        </w:rPr>
        <w:t>s</w:t>
      </w:r>
      <w:r w:rsidR="008B4573" w:rsidRPr="00FC50D0">
        <w:rPr>
          <w:b/>
          <w:bCs/>
          <w:lang w:val="fr-BE"/>
        </w:rPr>
        <w:t xml:space="preserve"> de formation</w:t>
      </w:r>
      <w:r w:rsidR="008B4573">
        <w:rPr>
          <w:lang w:val="fr-BE"/>
        </w:rPr>
        <w:t xml:space="preserve"> </w:t>
      </w:r>
      <w:r>
        <w:rPr>
          <w:lang w:val="fr-BE"/>
        </w:rPr>
        <w:t xml:space="preserve">sont fixées par les </w:t>
      </w:r>
      <w:r w:rsidRPr="00C054CF">
        <w:rPr>
          <w:b/>
          <w:bCs/>
          <w:lang w:val="fr-BE"/>
        </w:rPr>
        <w:t>facultés de médecine</w:t>
      </w:r>
      <w:r>
        <w:rPr>
          <w:lang w:val="fr-BE"/>
        </w:rPr>
        <w:t xml:space="preserve"> qui disposent de leur </w:t>
      </w:r>
      <w:proofErr w:type="spellStart"/>
      <w:r>
        <w:rPr>
          <w:lang w:val="fr-BE"/>
        </w:rPr>
        <w:t>propore</w:t>
      </w:r>
      <w:proofErr w:type="spellEnd"/>
      <w:r>
        <w:rPr>
          <w:lang w:val="fr-BE"/>
        </w:rPr>
        <w:t xml:space="preserve"> procédure. Aucune règlementation n’encadre sensu stricto le don de corps à la science. </w:t>
      </w:r>
    </w:p>
    <w:p w14:paraId="0E42EF45" w14:textId="77777777" w:rsidR="00B50A27" w:rsidRDefault="00B50A27" w:rsidP="00935968">
      <w:pPr>
        <w:pStyle w:val="Sansinterligne"/>
        <w:jc w:val="both"/>
        <w:rPr>
          <w:lang w:val="fr-BE"/>
        </w:rPr>
      </w:pPr>
    </w:p>
    <w:p w14:paraId="78444944" w14:textId="77777777" w:rsidR="00113EBA" w:rsidRDefault="00113EBA" w:rsidP="00935968">
      <w:pPr>
        <w:pStyle w:val="Sansinterligne"/>
        <w:jc w:val="both"/>
        <w:rPr>
          <w:lang w:val="fr-BE"/>
        </w:rPr>
      </w:pPr>
    </w:p>
    <w:p w14:paraId="2EDFFDD4" w14:textId="1AA19F31" w:rsidR="00113EBA" w:rsidRPr="00113EBA" w:rsidRDefault="00113EBA" w:rsidP="00113EBA">
      <w:pPr>
        <w:pStyle w:val="Sansinterligne"/>
        <w:numPr>
          <w:ilvl w:val="0"/>
          <w:numId w:val="3"/>
        </w:numPr>
        <w:jc w:val="both"/>
        <w:rPr>
          <w:b/>
          <w:bCs/>
          <w:lang w:val="fr-BE"/>
        </w:rPr>
      </w:pPr>
      <w:r w:rsidRPr="00113EBA">
        <w:rPr>
          <w:b/>
          <w:bCs/>
          <w:lang w:val="fr-BE"/>
        </w:rPr>
        <w:t>Choix du mode de sépulture</w:t>
      </w:r>
    </w:p>
    <w:p w14:paraId="02F6A923" w14:textId="77777777" w:rsidR="007C78CA" w:rsidRDefault="007C78CA" w:rsidP="006524DE">
      <w:pPr>
        <w:pStyle w:val="Sansinterligne"/>
        <w:jc w:val="both"/>
        <w:rPr>
          <w:lang w:val="fr-BE"/>
        </w:rPr>
      </w:pPr>
    </w:p>
    <w:p w14:paraId="272789D5" w14:textId="6CB2770F" w:rsidR="00C054CF" w:rsidRPr="00C054CF" w:rsidRDefault="00C054CF" w:rsidP="00D001D9">
      <w:pPr>
        <w:pStyle w:val="Sansinterligne"/>
        <w:jc w:val="both"/>
        <w:rPr>
          <w:lang w:val="fr-BE"/>
        </w:rPr>
      </w:pPr>
      <w:r w:rsidRPr="00C054CF">
        <w:rPr>
          <w:lang w:val="fr-BE"/>
        </w:rPr>
        <w:t>Arrêté royal du 2 août 1990 réglant l'enregistrement par les communes des dernières volontés quant au mode de sépultu</w:t>
      </w:r>
      <w:r w:rsidRPr="00522B3D">
        <w:rPr>
          <w:lang w:val="fr-BE"/>
        </w:rPr>
        <w:t xml:space="preserve">re (compétence : </w:t>
      </w:r>
      <w:r w:rsidRPr="00522B3D">
        <w:rPr>
          <w:b/>
          <w:bCs/>
          <w:lang w:val="fr-BE"/>
        </w:rPr>
        <w:t>affaires intérieures</w:t>
      </w:r>
      <w:r w:rsidRPr="00522B3D">
        <w:rPr>
          <w:lang w:val="fr-BE"/>
        </w:rPr>
        <w:t>)</w:t>
      </w:r>
    </w:p>
    <w:p w14:paraId="409299DC" w14:textId="77777777" w:rsidR="00C054CF" w:rsidRPr="00C054CF" w:rsidRDefault="00C054CF" w:rsidP="00D001D9">
      <w:pPr>
        <w:pStyle w:val="Sansinterligne"/>
        <w:jc w:val="both"/>
        <w:rPr>
          <w:b/>
          <w:bCs/>
          <w:lang w:val="fr-BE"/>
        </w:rPr>
      </w:pPr>
    </w:p>
    <w:p w14:paraId="492C21AD" w14:textId="60996DA3" w:rsidR="008B4573" w:rsidRDefault="00A47B3B" w:rsidP="00D001D9">
      <w:pPr>
        <w:pStyle w:val="Sansinterligne"/>
        <w:ind w:left="360"/>
        <w:jc w:val="both"/>
        <w:rPr>
          <w:lang w:val="fr-BE"/>
        </w:rPr>
      </w:pPr>
      <w:r>
        <w:rPr>
          <w:lang w:val="fr-BE"/>
        </w:rPr>
        <w:t>L</w:t>
      </w:r>
      <w:r w:rsidR="007C78CA" w:rsidRPr="007C78CA">
        <w:rPr>
          <w:lang w:val="fr-BE"/>
        </w:rPr>
        <w:t xml:space="preserve">e choix </w:t>
      </w:r>
      <w:r w:rsidR="007C78CA" w:rsidRPr="00FC50D0">
        <w:rPr>
          <w:lang w:val="fr-BE"/>
        </w:rPr>
        <w:t>du mode de sépulture</w:t>
      </w:r>
      <w:r w:rsidR="00935968" w:rsidRPr="00935968">
        <w:rPr>
          <w:b/>
          <w:bCs/>
          <w:lang w:val="fr-BE"/>
        </w:rPr>
        <w:t xml:space="preserve"> </w:t>
      </w:r>
      <w:r w:rsidR="00935968">
        <w:rPr>
          <w:lang w:val="fr-BE"/>
        </w:rPr>
        <w:t xml:space="preserve">peut être enregistré à la </w:t>
      </w:r>
      <w:r w:rsidR="00935968" w:rsidRPr="00FC50D0">
        <w:rPr>
          <w:b/>
          <w:bCs/>
          <w:lang w:val="fr-BE"/>
        </w:rPr>
        <w:t>commune</w:t>
      </w:r>
      <w:r w:rsidR="00855C84">
        <w:rPr>
          <w:lang w:val="fr-BE"/>
        </w:rPr>
        <w:t xml:space="preserve"> dans le registre de population</w:t>
      </w:r>
      <w:r w:rsidR="00C054CF">
        <w:rPr>
          <w:lang w:val="fr-BE"/>
        </w:rPr>
        <w:t xml:space="preserve">. </w:t>
      </w:r>
      <w:r w:rsidR="00406F00">
        <w:rPr>
          <w:lang w:val="fr-BE"/>
        </w:rPr>
        <w:t xml:space="preserve"> </w:t>
      </w:r>
    </w:p>
    <w:p w14:paraId="79753954" w14:textId="11C89279" w:rsidR="002005A4" w:rsidRDefault="002005A4" w:rsidP="00D001D9">
      <w:pPr>
        <w:pStyle w:val="Sansinterligne"/>
        <w:ind w:left="360"/>
        <w:jc w:val="both"/>
        <w:rPr>
          <w:lang w:val="fr-BE"/>
        </w:rPr>
      </w:pPr>
      <w:r>
        <w:rPr>
          <w:lang w:val="fr-BE"/>
        </w:rPr>
        <w:t>Finalité : informer la commune qui se chargera de faire respecter la volonté du citoyen &gt; accès restreint</w:t>
      </w:r>
    </w:p>
    <w:p w14:paraId="7A7921F6" w14:textId="4A15AEAD" w:rsidR="002005A4" w:rsidRPr="00935968" w:rsidRDefault="002005A4" w:rsidP="00D001D9">
      <w:pPr>
        <w:pStyle w:val="Sansinterligne"/>
        <w:ind w:left="360"/>
        <w:jc w:val="both"/>
        <w:rPr>
          <w:lang w:val="fr-BE"/>
        </w:rPr>
      </w:pPr>
      <w:r>
        <w:rPr>
          <w:lang w:val="fr-BE"/>
        </w:rPr>
        <w:t xml:space="preserve">Modalités : certaines communes permettent l’enregistrement en ligne. </w:t>
      </w:r>
    </w:p>
    <w:p w14:paraId="7D0E8EC0" w14:textId="77777777" w:rsidR="00935968" w:rsidRDefault="00935968" w:rsidP="00935968">
      <w:pPr>
        <w:pStyle w:val="Sansinterligne"/>
        <w:ind w:left="720"/>
        <w:jc w:val="both"/>
        <w:rPr>
          <w:lang w:val="fr-BE"/>
        </w:rPr>
      </w:pPr>
    </w:p>
    <w:p w14:paraId="05087A86" w14:textId="77777777" w:rsidR="00B50A27" w:rsidRPr="00935968" w:rsidRDefault="00B50A27" w:rsidP="00935968">
      <w:pPr>
        <w:pStyle w:val="Sansinterligne"/>
        <w:ind w:left="720"/>
        <w:jc w:val="both"/>
        <w:rPr>
          <w:lang w:val="fr-BE"/>
        </w:rPr>
      </w:pPr>
    </w:p>
    <w:p w14:paraId="67C79988" w14:textId="25FFFE50" w:rsidR="00A47B3B" w:rsidRPr="00B50A27" w:rsidRDefault="00A47B3B" w:rsidP="00A47B3B">
      <w:pPr>
        <w:pStyle w:val="Paragraphedeliste"/>
        <w:numPr>
          <w:ilvl w:val="0"/>
          <w:numId w:val="3"/>
        </w:numPr>
        <w:rPr>
          <w:b/>
          <w:bCs/>
          <w:lang w:val="fr-BE"/>
        </w:rPr>
      </w:pPr>
      <w:r w:rsidRPr="00B50A27">
        <w:rPr>
          <w:b/>
          <w:bCs/>
          <w:lang w:val="fr-BE"/>
        </w:rPr>
        <w:t xml:space="preserve">Déclaration don d’organes </w:t>
      </w:r>
      <w:r w:rsidR="00B50A27" w:rsidRPr="00B50A27">
        <w:rPr>
          <w:b/>
          <w:bCs/>
          <w:lang w:val="fr-BE"/>
        </w:rPr>
        <w:t>– matériel c</w:t>
      </w:r>
      <w:r w:rsidR="00B50A27">
        <w:rPr>
          <w:b/>
          <w:bCs/>
          <w:lang w:val="fr-BE"/>
        </w:rPr>
        <w:t>orporel humain</w:t>
      </w:r>
    </w:p>
    <w:p w14:paraId="5D465DD7" w14:textId="77777777" w:rsidR="006F500A" w:rsidRPr="00B50A27" w:rsidRDefault="006F500A" w:rsidP="006F500A">
      <w:pPr>
        <w:pStyle w:val="Paragraphedeliste"/>
        <w:rPr>
          <w:b/>
          <w:bCs/>
          <w:lang w:val="fr-BE"/>
        </w:rPr>
      </w:pPr>
    </w:p>
    <w:p w14:paraId="0A58269C" w14:textId="710378EA" w:rsidR="002012AE" w:rsidRPr="00EC7802" w:rsidRDefault="006F500A" w:rsidP="00D001D9">
      <w:pPr>
        <w:jc w:val="both"/>
      </w:pPr>
      <w:r w:rsidRPr="00EC7802">
        <w:t>Loi du 13 juin 1986</w:t>
      </w:r>
      <w:r w:rsidR="004A2DFE" w:rsidRPr="00EC7802">
        <w:t xml:space="preserve"> (compétence : </w:t>
      </w:r>
      <w:r w:rsidR="004A2DFE" w:rsidRPr="00FC50D0">
        <w:rPr>
          <w:b/>
          <w:bCs/>
        </w:rPr>
        <w:t>Santé publique</w:t>
      </w:r>
      <w:r w:rsidR="004A2DFE" w:rsidRPr="00EC7802">
        <w:t>)</w:t>
      </w:r>
    </w:p>
    <w:p w14:paraId="4B5701FF" w14:textId="2BFB2A20" w:rsidR="006F500A" w:rsidRDefault="006F500A" w:rsidP="00D001D9">
      <w:pPr>
        <w:pStyle w:val="Paragraphedeliste"/>
        <w:jc w:val="both"/>
        <w:rPr>
          <w:lang w:val="fr-BE"/>
        </w:rPr>
      </w:pPr>
      <w:r w:rsidRPr="006F500A">
        <w:rPr>
          <w:lang w:val="fr-BE"/>
        </w:rPr>
        <w:t>Enregistrement des déclarations don d’organes</w:t>
      </w:r>
      <w:r>
        <w:rPr>
          <w:lang w:val="fr-BE"/>
        </w:rPr>
        <w:t xml:space="preserve"> à des fins de </w:t>
      </w:r>
      <w:proofErr w:type="spellStart"/>
      <w:r>
        <w:rPr>
          <w:lang w:val="fr-BE"/>
        </w:rPr>
        <w:t>transplantion</w:t>
      </w:r>
      <w:proofErr w:type="spellEnd"/>
      <w:r>
        <w:rPr>
          <w:lang w:val="fr-BE"/>
        </w:rPr>
        <w:t xml:space="preserve"> dans </w:t>
      </w:r>
      <w:r w:rsidR="00B50A27">
        <w:rPr>
          <w:lang w:val="fr-BE"/>
        </w:rPr>
        <w:t>la</w:t>
      </w:r>
      <w:r>
        <w:rPr>
          <w:lang w:val="fr-BE"/>
        </w:rPr>
        <w:t xml:space="preserve"> base de données</w:t>
      </w:r>
      <w:r w:rsidR="00B50A27">
        <w:rPr>
          <w:lang w:val="fr-BE"/>
        </w:rPr>
        <w:t xml:space="preserve"> </w:t>
      </w:r>
      <w:proofErr w:type="spellStart"/>
      <w:r w:rsidR="00B50A27">
        <w:rPr>
          <w:lang w:val="fr-BE"/>
        </w:rPr>
        <w:t>Orgadon</w:t>
      </w:r>
      <w:proofErr w:type="spellEnd"/>
    </w:p>
    <w:p w14:paraId="57C42AE1" w14:textId="522A45E3" w:rsidR="00CD7AF9" w:rsidRPr="00CD7AF9" w:rsidRDefault="006F500A" w:rsidP="00D001D9">
      <w:pPr>
        <w:pStyle w:val="Paragraphedeliste"/>
        <w:jc w:val="both"/>
        <w:rPr>
          <w:lang w:val="fr-BE"/>
        </w:rPr>
      </w:pPr>
      <w:r>
        <w:rPr>
          <w:lang w:val="fr-BE"/>
        </w:rPr>
        <w:t xml:space="preserve">Finalité : </w:t>
      </w:r>
      <w:r w:rsidRPr="00FC50D0">
        <w:rPr>
          <w:b/>
          <w:bCs/>
          <w:lang w:val="fr-BE"/>
        </w:rPr>
        <w:t>informer les coordinateurs de transplantation</w:t>
      </w:r>
      <w:r>
        <w:rPr>
          <w:lang w:val="fr-BE"/>
        </w:rPr>
        <w:t xml:space="preserve"> </w:t>
      </w:r>
      <w:r w:rsidR="00CD7AF9">
        <w:rPr>
          <w:lang w:val="fr-BE"/>
        </w:rPr>
        <w:t xml:space="preserve">&gt; accès restreint </w:t>
      </w:r>
    </w:p>
    <w:p w14:paraId="6A8592BD" w14:textId="19960835" w:rsidR="006F500A" w:rsidRDefault="004A2DFE" w:rsidP="00D001D9">
      <w:pPr>
        <w:pStyle w:val="Paragraphedeliste"/>
        <w:jc w:val="both"/>
        <w:rPr>
          <w:lang w:val="fr-BE"/>
        </w:rPr>
      </w:pPr>
      <w:r>
        <w:rPr>
          <w:lang w:val="fr-BE"/>
        </w:rPr>
        <w:t xml:space="preserve">Modalités : </w:t>
      </w:r>
      <w:r w:rsidRPr="00FC50D0">
        <w:rPr>
          <w:b/>
          <w:bCs/>
          <w:lang w:val="fr-BE"/>
        </w:rPr>
        <w:t>e</w:t>
      </w:r>
      <w:r w:rsidR="006F500A" w:rsidRPr="00FC50D0">
        <w:rPr>
          <w:b/>
          <w:bCs/>
          <w:lang w:val="fr-BE"/>
        </w:rPr>
        <w:t xml:space="preserve">nregistrement </w:t>
      </w:r>
      <w:r w:rsidR="006F500A" w:rsidRPr="00FC50D0">
        <w:rPr>
          <w:lang w:val="fr-BE"/>
        </w:rPr>
        <w:t>papier via commune ou médecin ou</w:t>
      </w:r>
      <w:r w:rsidR="006F500A" w:rsidRPr="00FC50D0">
        <w:rPr>
          <w:b/>
          <w:bCs/>
          <w:lang w:val="fr-BE"/>
        </w:rPr>
        <w:t xml:space="preserve"> </w:t>
      </w:r>
      <w:proofErr w:type="spellStart"/>
      <w:r w:rsidR="006F500A" w:rsidRPr="00FC50D0">
        <w:rPr>
          <w:b/>
          <w:bCs/>
          <w:lang w:val="fr-BE"/>
        </w:rPr>
        <w:t>auto-enregistrement</w:t>
      </w:r>
      <w:proofErr w:type="spellEnd"/>
      <w:r w:rsidR="006F500A">
        <w:rPr>
          <w:lang w:val="fr-BE"/>
        </w:rPr>
        <w:t xml:space="preserve"> électronique par le citoyen</w:t>
      </w:r>
    </w:p>
    <w:p w14:paraId="12646237" w14:textId="77777777" w:rsidR="006F500A" w:rsidRDefault="006F500A" w:rsidP="006F500A">
      <w:pPr>
        <w:pStyle w:val="Paragraphedeliste"/>
        <w:rPr>
          <w:lang w:val="fr-BE"/>
        </w:rPr>
      </w:pPr>
    </w:p>
    <w:p w14:paraId="13BC963C" w14:textId="6368DA51" w:rsidR="00B50A27" w:rsidRPr="00FC50D0" w:rsidRDefault="00FC50D0" w:rsidP="00EC7802">
      <w:pPr>
        <w:jc w:val="both"/>
      </w:pPr>
      <w:r w:rsidRPr="00FC50D0">
        <w:t>Loi du 19 décembre 2008 relative à l'obtention et à l'utilisation de matériel corporel humain destiné à des applications médicales humaines ou à des fins de recherche scientifique.</w:t>
      </w:r>
      <w:r w:rsidR="00B50A27" w:rsidRPr="00FC50D0">
        <w:t xml:space="preserve">2008 (compétence : </w:t>
      </w:r>
      <w:r w:rsidR="00B50A27" w:rsidRPr="00FC50D0">
        <w:rPr>
          <w:b/>
          <w:bCs/>
        </w:rPr>
        <w:t>AFMPS</w:t>
      </w:r>
      <w:r w:rsidR="00B50A27" w:rsidRPr="00FC50D0">
        <w:t>)</w:t>
      </w:r>
      <w:r w:rsidR="00B50A27" w:rsidRPr="00EC7802">
        <w:t xml:space="preserve"> </w:t>
      </w:r>
    </w:p>
    <w:p w14:paraId="3A5CE5A6" w14:textId="4CDE24DB" w:rsidR="006F500A" w:rsidRPr="00885ADD" w:rsidRDefault="00B50A27" w:rsidP="00B50A27">
      <w:pPr>
        <w:pStyle w:val="Paragraphedeliste"/>
        <w:jc w:val="both"/>
        <w:rPr>
          <w:lang w:val="fr-BE"/>
        </w:rPr>
      </w:pPr>
      <w:proofErr w:type="spellStart"/>
      <w:r w:rsidRPr="00FC50D0">
        <w:rPr>
          <w:lang w:val="fr-BE"/>
        </w:rPr>
        <w:lastRenderedPageBreak/>
        <w:t>Orgadon</w:t>
      </w:r>
      <w:proofErr w:type="spellEnd"/>
      <w:r w:rsidR="006F500A" w:rsidRPr="00FC50D0">
        <w:rPr>
          <w:lang w:val="fr-BE"/>
        </w:rPr>
        <w:t xml:space="preserve"> est partagée</w:t>
      </w:r>
      <w:r w:rsidR="00CD7AF9" w:rsidRPr="00FC50D0">
        <w:rPr>
          <w:lang w:val="fr-BE"/>
        </w:rPr>
        <w:t xml:space="preserve"> avec</w:t>
      </w:r>
      <w:r w:rsidR="006F500A" w:rsidRPr="00FC50D0">
        <w:rPr>
          <w:lang w:val="fr-BE"/>
        </w:rPr>
        <w:t xml:space="preserve"> l</w:t>
      </w:r>
      <w:r w:rsidR="00774A92" w:rsidRPr="00FC50D0">
        <w:rPr>
          <w:lang w:val="fr-BE"/>
        </w:rPr>
        <w:t>’AFMPS</w:t>
      </w:r>
      <w:r w:rsidR="006F500A" w:rsidRPr="00B50A27">
        <w:rPr>
          <w:lang w:val="fr-BE"/>
        </w:rPr>
        <w:t xml:space="preserve"> qui </w:t>
      </w:r>
      <w:r>
        <w:rPr>
          <w:lang w:val="fr-BE"/>
        </w:rPr>
        <w:t>s’occupe d</w:t>
      </w:r>
      <w:r w:rsidR="006F500A" w:rsidRPr="00B50A27">
        <w:rPr>
          <w:lang w:val="fr-BE"/>
        </w:rPr>
        <w:t xml:space="preserve">es </w:t>
      </w:r>
      <w:r w:rsidRPr="00B50A27">
        <w:rPr>
          <w:lang w:val="fr-BE"/>
        </w:rPr>
        <w:t>déclarations qui relèvent de ses compétences</w:t>
      </w:r>
      <w:r>
        <w:rPr>
          <w:lang w:val="fr-BE"/>
        </w:rPr>
        <w:t> </w:t>
      </w:r>
      <w:r w:rsidRPr="00885ADD">
        <w:rPr>
          <w:lang w:val="fr-BE"/>
        </w:rPr>
        <w:t xml:space="preserve">: </w:t>
      </w:r>
      <w:r w:rsidR="006F500A" w:rsidRPr="00885ADD">
        <w:rPr>
          <w:lang w:val="fr-BE"/>
        </w:rPr>
        <w:t>don de matériel corporel humain à des fins de transplantation</w:t>
      </w:r>
      <w:r w:rsidR="00885ADD">
        <w:rPr>
          <w:lang w:val="fr-BE"/>
        </w:rPr>
        <w:t>, don de matériel corporel hu</w:t>
      </w:r>
      <w:r w:rsidR="002005A4">
        <w:rPr>
          <w:lang w:val="fr-BE"/>
        </w:rPr>
        <w:t>main</w:t>
      </w:r>
      <w:r w:rsidR="00885ADD">
        <w:rPr>
          <w:lang w:val="fr-BE"/>
        </w:rPr>
        <w:t xml:space="preserve"> à des fins de recherche, et don de matériel corporel humain </w:t>
      </w:r>
      <w:r w:rsidR="00885ADD" w:rsidRPr="00885ADD">
        <w:rPr>
          <w:lang w:val="fr-BE"/>
        </w:rPr>
        <w:t xml:space="preserve">à des fins de thérapie innovante (médicaments). </w:t>
      </w:r>
    </w:p>
    <w:p w14:paraId="37211ED9" w14:textId="4D87CB09" w:rsidR="00B50A27" w:rsidRPr="00CD7AF9" w:rsidRDefault="00B50A27" w:rsidP="00B50A27">
      <w:pPr>
        <w:pStyle w:val="Paragraphedeliste"/>
        <w:rPr>
          <w:lang w:val="fr-BE"/>
        </w:rPr>
      </w:pPr>
      <w:r w:rsidRPr="00885ADD">
        <w:rPr>
          <w:lang w:val="fr-BE"/>
        </w:rPr>
        <w:t>Finalité : informer les gestionnaires de</w:t>
      </w:r>
      <w:r w:rsidRPr="00FC50D0">
        <w:rPr>
          <w:b/>
          <w:bCs/>
          <w:lang w:val="fr-BE"/>
        </w:rPr>
        <w:t xml:space="preserve"> banque de matériel corporel humain</w:t>
      </w:r>
      <w:r w:rsidRPr="00FC50D0">
        <w:rPr>
          <w:lang w:val="fr-BE"/>
        </w:rPr>
        <w:t xml:space="preserve"> </w:t>
      </w:r>
      <w:r w:rsidR="00FC50D0" w:rsidRPr="00FC50D0">
        <w:rPr>
          <w:lang w:val="fr-BE"/>
        </w:rPr>
        <w:t xml:space="preserve">ou </w:t>
      </w:r>
      <w:r w:rsidR="00FC50D0">
        <w:rPr>
          <w:lang w:val="fr-BE"/>
        </w:rPr>
        <w:t xml:space="preserve">de </w:t>
      </w:r>
      <w:proofErr w:type="spellStart"/>
      <w:r w:rsidR="00FC50D0" w:rsidRPr="00885ADD">
        <w:rPr>
          <w:b/>
          <w:bCs/>
          <w:lang w:val="fr-BE"/>
        </w:rPr>
        <w:t>biobanques</w:t>
      </w:r>
      <w:proofErr w:type="spellEnd"/>
      <w:r w:rsidR="00FC50D0">
        <w:rPr>
          <w:lang w:val="fr-BE"/>
        </w:rPr>
        <w:t xml:space="preserve">. </w:t>
      </w:r>
    </w:p>
    <w:p w14:paraId="4A6EF3A8" w14:textId="484C022D" w:rsidR="00A47B3B" w:rsidRDefault="00B50A27" w:rsidP="00B50A27">
      <w:pPr>
        <w:pStyle w:val="Paragraphedeliste"/>
        <w:rPr>
          <w:lang w:val="fr-BE"/>
        </w:rPr>
      </w:pPr>
      <w:r>
        <w:rPr>
          <w:lang w:val="fr-BE"/>
        </w:rPr>
        <w:t xml:space="preserve">Modalités : </w:t>
      </w:r>
      <w:r w:rsidRPr="00FC50D0">
        <w:rPr>
          <w:b/>
          <w:bCs/>
          <w:lang w:val="fr-BE"/>
        </w:rPr>
        <w:t xml:space="preserve">enregistrement </w:t>
      </w:r>
      <w:r w:rsidRPr="00FC50D0">
        <w:rPr>
          <w:lang w:val="fr-BE"/>
        </w:rPr>
        <w:t>papier via commune ou médecin ou</w:t>
      </w:r>
      <w:r w:rsidRPr="00FC50D0">
        <w:rPr>
          <w:b/>
          <w:bCs/>
          <w:lang w:val="fr-BE"/>
        </w:rPr>
        <w:t xml:space="preserve"> </w:t>
      </w:r>
      <w:proofErr w:type="spellStart"/>
      <w:r w:rsidRPr="00FC50D0">
        <w:rPr>
          <w:b/>
          <w:bCs/>
          <w:lang w:val="fr-BE"/>
        </w:rPr>
        <w:t>auto-enregistrement</w:t>
      </w:r>
      <w:proofErr w:type="spellEnd"/>
      <w:r>
        <w:rPr>
          <w:lang w:val="fr-BE"/>
        </w:rPr>
        <w:t xml:space="preserve"> électronique par le citoyen</w:t>
      </w:r>
      <w:r w:rsidR="00FC50D0">
        <w:rPr>
          <w:lang w:val="fr-BE"/>
        </w:rPr>
        <w:t>.</w:t>
      </w:r>
    </w:p>
    <w:p w14:paraId="3B7C0F7F" w14:textId="77777777" w:rsidR="00FC50D0" w:rsidRPr="00B50A27" w:rsidRDefault="00FC50D0" w:rsidP="00B50A27">
      <w:pPr>
        <w:pStyle w:val="Paragraphedeliste"/>
        <w:rPr>
          <w:lang w:val="fr-BE"/>
        </w:rPr>
      </w:pPr>
    </w:p>
    <w:p w14:paraId="555AAEFD" w14:textId="77777777" w:rsidR="00573655" w:rsidRPr="006F500A" w:rsidRDefault="00573655" w:rsidP="00A47B3B">
      <w:pPr>
        <w:pStyle w:val="Paragraphedeliste"/>
        <w:rPr>
          <w:b/>
          <w:bCs/>
          <w:lang w:val="fr-BE"/>
        </w:rPr>
      </w:pPr>
    </w:p>
    <w:p w14:paraId="06EF45BF" w14:textId="5CC9CF0A" w:rsidR="00A47B3B" w:rsidRPr="00522B3D" w:rsidRDefault="00A47B3B" w:rsidP="00A47B3B">
      <w:pPr>
        <w:pStyle w:val="Paragraphedeliste"/>
        <w:numPr>
          <w:ilvl w:val="0"/>
          <w:numId w:val="3"/>
        </w:numPr>
        <w:rPr>
          <w:b/>
          <w:bCs/>
          <w:lang w:val="fr-BE"/>
        </w:rPr>
      </w:pPr>
      <w:r w:rsidRPr="00522B3D">
        <w:rPr>
          <w:b/>
          <w:bCs/>
          <w:lang w:val="fr-BE"/>
        </w:rPr>
        <w:t xml:space="preserve">Déclaration </w:t>
      </w:r>
      <w:r w:rsidR="00F26717" w:rsidRPr="00522B3D">
        <w:rPr>
          <w:b/>
          <w:bCs/>
          <w:lang w:val="fr-BE"/>
        </w:rPr>
        <w:t>anticipée de demande d’</w:t>
      </w:r>
      <w:r w:rsidRPr="00522B3D">
        <w:rPr>
          <w:b/>
          <w:bCs/>
          <w:lang w:val="fr-BE"/>
        </w:rPr>
        <w:t>euthanasie</w:t>
      </w:r>
    </w:p>
    <w:p w14:paraId="3CB788CB" w14:textId="77777777" w:rsidR="006F500A" w:rsidRPr="00522B3D" w:rsidRDefault="006F500A" w:rsidP="006F500A">
      <w:pPr>
        <w:pStyle w:val="Paragraphedeliste"/>
        <w:rPr>
          <w:lang w:val="fr-BE"/>
        </w:rPr>
      </w:pPr>
    </w:p>
    <w:p w14:paraId="5BF5D68F" w14:textId="51C41166" w:rsidR="002012AE" w:rsidRPr="00885ADD" w:rsidRDefault="006F500A" w:rsidP="00885ADD">
      <w:pPr>
        <w:jc w:val="both"/>
      </w:pPr>
      <w:r w:rsidRPr="00EC7802">
        <w:t>Loi du 22 mai 2002</w:t>
      </w:r>
      <w:r w:rsidR="004A2DFE" w:rsidRPr="00EC7802">
        <w:t xml:space="preserve"> relative à l’euthanasie </w:t>
      </w:r>
      <w:r w:rsidR="004A2DFE" w:rsidRPr="00522B3D">
        <w:t xml:space="preserve">(compétence : </w:t>
      </w:r>
      <w:r w:rsidR="004A2DFE" w:rsidRPr="00522B3D">
        <w:rPr>
          <w:b/>
          <w:bCs/>
        </w:rPr>
        <w:t>Justice</w:t>
      </w:r>
      <w:r w:rsidR="004A2DFE" w:rsidRPr="00522B3D">
        <w:t>)</w:t>
      </w:r>
    </w:p>
    <w:p w14:paraId="333F94A3" w14:textId="1DEA0D63" w:rsidR="002012AE" w:rsidRPr="00EC7802" w:rsidRDefault="004A2DFE" w:rsidP="00EC7802">
      <w:pPr>
        <w:jc w:val="both"/>
      </w:pPr>
      <w:hyperlink r:id="rId11" w:tgtFrame="_blanck" w:history="1">
        <w:r w:rsidRPr="00EC7802">
          <w:rPr>
            <w:rStyle w:val="Lienhypertexte"/>
            <w:color w:val="auto"/>
            <w:u w:val="none"/>
          </w:rPr>
          <w:t>Arrêté royal du 2 avril 2003 fixant les modalités suivant lesquelles la déclaration anticipée relative à l'euthanasie est rédigée, reconfirmée, révisée ou retirée</w:t>
        </w:r>
      </w:hyperlink>
      <w:r w:rsidR="00CD7AF9" w:rsidRPr="00EC7802">
        <w:t xml:space="preserve"> (compétence : Santé publique)</w:t>
      </w:r>
    </w:p>
    <w:p w14:paraId="582E5610" w14:textId="223774F6" w:rsidR="006F500A" w:rsidRPr="00EC7802" w:rsidRDefault="004A2DFE" w:rsidP="00EC7802">
      <w:pPr>
        <w:jc w:val="both"/>
      </w:pPr>
      <w:r w:rsidRPr="00EC7802">
        <w:t xml:space="preserve">Arrêté royal </w:t>
      </w:r>
      <w:r w:rsidR="006F500A" w:rsidRPr="00EC7802">
        <w:t xml:space="preserve">du </w:t>
      </w:r>
      <w:hyperlink r:id="rId12" w:tgtFrame="_blanck" w:history="1">
        <w:r w:rsidR="00CD7AF9" w:rsidRPr="00EC7802">
          <w:rPr>
            <w:rStyle w:val="Lienhypertexte"/>
            <w:color w:val="auto"/>
            <w:u w:val="none"/>
          </w:rPr>
          <w:t>27 avril 2007 réglant la façon dont la déclaration anticipée en matière d'euthanasie est enregistrée et est communiquée via les services du Registre national aux médecins concernés</w:t>
        </w:r>
      </w:hyperlink>
      <w:r w:rsidR="00CD7AF9" w:rsidRPr="00EC7802">
        <w:t xml:space="preserve"> </w:t>
      </w:r>
      <w:r w:rsidRPr="00EC7802">
        <w:t xml:space="preserve">(compétence : </w:t>
      </w:r>
      <w:r w:rsidRPr="00522B3D">
        <w:rPr>
          <w:b/>
          <w:bCs/>
        </w:rPr>
        <w:t>Santé publique</w:t>
      </w:r>
      <w:r w:rsidRPr="00EC7802">
        <w:t>)</w:t>
      </w:r>
    </w:p>
    <w:p w14:paraId="7A43C50A" w14:textId="2F342301" w:rsidR="004A2DFE" w:rsidRPr="00355F15" w:rsidRDefault="004A2DFE" w:rsidP="00355F15">
      <w:pPr>
        <w:pStyle w:val="Paragraphedeliste"/>
        <w:jc w:val="both"/>
        <w:rPr>
          <w:lang w:val="fr-BE"/>
        </w:rPr>
      </w:pPr>
      <w:r>
        <w:rPr>
          <w:lang w:val="fr-BE"/>
        </w:rPr>
        <w:t xml:space="preserve">Finalité : </w:t>
      </w:r>
      <w:r w:rsidRPr="00FC50D0">
        <w:rPr>
          <w:b/>
          <w:bCs/>
          <w:lang w:val="fr-BE"/>
        </w:rPr>
        <w:t xml:space="preserve">informer le médecin qui serait confronté à un patient </w:t>
      </w:r>
      <w:r w:rsidR="00355F15" w:rsidRPr="00FC50D0">
        <w:rPr>
          <w:b/>
          <w:bCs/>
          <w:lang w:val="fr-BE"/>
        </w:rPr>
        <w:t>inconscient</w:t>
      </w:r>
      <w:r w:rsidR="00355F15">
        <w:rPr>
          <w:lang w:val="fr-BE"/>
        </w:rPr>
        <w:t xml:space="preserve"> </w:t>
      </w:r>
      <w:r>
        <w:rPr>
          <w:lang w:val="fr-BE"/>
        </w:rPr>
        <w:t>répondant aux critères légaux d’une euthanasie</w:t>
      </w:r>
      <w:r w:rsidR="00CD7AF9">
        <w:rPr>
          <w:lang w:val="fr-BE"/>
        </w:rPr>
        <w:t xml:space="preserve"> &gt; accès restreint</w:t>
      </w:r>
      <w:r w:rsidR="002005A4">
        <w:rPr>
          <w:lang w:val="fr-BE"/>
        </w:rPr>
        <w:t>.</w:t>
      </w:r>
      <w:r w:rsidR="00355F15">
        <w:rPr>
          <w:lang w:val="fr-BE"/>
        </w:rPr>
        <w:t xml:space="preserve"> </w:t>
      </w:r>
    </w:p>
    <w:p w14:paraId="3B3619EB" w14:textId="177E608D" w:rsidR="002005A4" w:rsidRDefault="004A2DFE" w:rsidP="00342144">
      <w:pPr>
        <w:pStyle w:val="Paragraphedeliste"/>
        <w:jc w:val="both"/>
        <w:rPr>
          <w:lang w:val="fr-BE"/>
        </w:rPr>
      </w:pPr>
      <w:r>
        <w:rPr>
          <w:lang w:val="fr-BE"/>
        </w:rPr>
        <w:t xml:space="preserve">Modalités : </w:t>
      </w:r>
      <w:r w:rsidRPr="00522B3D">
        <w:rPr>
          <w:b/>
          <w:bCs/>
          <w:lang w:val="fr-BE"/>
        </w:rPr>
        <w:t>enregistrement d’un formulaire papier auprès de la commune</w:t>
      </w:r>
      <w:r w:rsidRPr="00885ADD">
        <w:rPr>
          <w:lang w:val="fr-BE"/>
        </w:rPr>
        <w:t xml:space="preserve">. </w:t>
      </w:r>
      <w:r w:rsidRPr="00885ADD">
        <w:rPr>
          <w:b/>
          <w:bCs/>
          <w:lang w:val="fr-BE"/>
        </w:rPr>
        <w:t>Pas d’</w:t>
      </w:r>
      <w:proofErr w:type="spellStart"/>
      <w:r w:rsidRPr="00885ADD">
        <w:rPr>
          <w:b/>
          <w:bCs/>
          <w:lang w:val="fr-BE"/>
        </w:rPr>
        <w:t>auto-enregistrement</w:t>
      </w:r>
      <w:proofErr w:type="spellEnd"/>
      <w:r w:rsidRPr="00885ADD">
        <w:rPr>
          <w:lang w:val="fr-BE"/>
        </w:rPr>
        <w:t xml:space="preserve"> au vu de la complexité</w:t>
      </w:r>
      <w:r w:rsidR="00355F15" w:rsidRPr="00885ADD">
        <w:rPr>
          <w:lang w:val="fr-BE"/>
        </w:rPr>
        <w:t xml:space="preserve"> de la déclaration (</w:t>
      </w:r>
      <w:r w:rsidR="00D13B3E">
        <w:rPr>
          <w:lang w:val="fr-BE"/>
        </w:rPr>
        <w:t xml:space="preserve">signature </w:t>
      </w:r>
      <w:r w:rsidR="00355F15" w:rsidRPr="00885ADD">
        <w:rPr>
          <w:lang w:val="fr-BE"/>
        </w:rPr>
        <w:t>des témoins</w:t>
      </w:r>
      <w:r w:rsidR="00D13B3E">
        <w:rPr>
          <w:lang w:val="fr-BE"/>
        </w:rPr>
        <w:t xml:space="preserve"> et des </w:t>
      </w:r>
      <w:r w:rsidR="00780460" w:rsidRPr="00885ADD">
        <w:rPr>
          <w:lang w:val="fr-BE"/>
        </w:rPr>
        <w:t xml:space="preserve">personnes de confiance) et de la situation (personnes </w:t>
      </w:r>
      <w:r w:rsidR="00D13B3E">
        <w:rPr>
          <w:lang w:val="fr-BE"/>
        </w:rPr>
        <w:t xml:space="preserve">âgées </w:t>
      </w:r>
      <w:r w:rsidR="00780460" w:rsidRPr="00885ADD">
        <w:rPr>
          <w:lang w:val="fr-BE"/>
        </w:rPr>
        <w:t xml:space="preserve">potentiellement vulnérables, </w:t>
      </w:r>
      <w:r w:rsidR="00780460" w:rsidRPr="00D001D9">
        <w:rPr>
          <w:lang w:val="fr-BE"/>
        </w:rPr>
        <w:t>malades</w:t>
      </w:r>
      <w:r w:rsidR="00D001D9">
        <w:rPr>
          <w:lang w:val="fr-BE"/>
        </w:rPr>
        <w:t xml:space="preserve"> ; décision </w:t>
      </w:r>
      <w:r w:rsidR="00D001D9" w:rsidRPr="00D001D9">
        <w:rPr>
          <w:lang w:val="fr-BE"/>
        </w:rPr>
        <w:t>délicate</w:t>
      </w:r>
      <w:r w:rsidR="00780460" w:rsidRPr="00D001D9">
        <w:rPr>
          <w:lang w:val="fr-BE"/>
        </w:rPr>
        <w:t xml:space="preserve">). </w:t>
      </w:r>
      <w:r w:rsidR="00D001D9" w:rsidRPr="00D001D9">
        <w:rPr>
          <w:lang w:val="fr-BE"/>
        </w:rPr>
        <w:t>Notons p</w:t>
      </w:r>
      <w:r w:rsidR="00D001D9">
        <w:rPr>
          <w:lang w:val="fr-BE"/>
        </w:rPr>
        <w:t>arallèlement que</w:t>
      </w:r>
      <w:r w:rsidR="00342144">
        <w:rPr>
          <w:lang w:val="fr-BE"/>
        </w:rPr>
        <w:t xml:space="preserve"> l’</w:t>
      </w:r>
      <w:proofErr w:type="spellStart"/>
      <w:r w:rsidR="00342144">
        <w:rPr>
          <w:lang w:val="fr-BE"/>
        </w:rPr>
        <w:t>auto-enregistrement</w:t>
      </w:r>
      <w:proofErr w:type="spellEnd"/>
      <w:r w:rsidR="00342144">
        <w:rPr>
          <w:lang w:val="fr-BE"/>
        </w:rPr>
        <w:t xml:space="preserve"> d’une déclaration « don d’organes » n’est pas possible pour</w:t>
      </w:r>
      <w:r w:rsidR="00D001D9" w:rsidRPr="00D001D9">
        <w:rPr>
          <w:lang w:val="fr-BE"/>
        </w:rPr>
        <w:t xml:space="preserve"> </w:t>
      </w:r>
      <w:r w:rsidR="00D13B3E" w:rsidRPr="00D001D9">
        <w:rPr>
          <w:lang w:val="fr-BE"/>
        </w:rPr>
        <w:t>les mineurs</w:t>
      </w:r>
      <w:r w:rsidR="00342144">
        <w:rPr>
          <w:lang w:val="fr-BE"/>
        </w:rPr>
        <w:t xml:space="preserve"> (capables ou non)</w:t>
      </w:r>
      <w:r w:rsidR="00D13B3E" w:rsidRPr="00D001D9">
        <w:rPr>
          <w:lang w:val="fr-BE"/>
        </w:rPr>
        <w:t xml:space="preserve"> </w:t>
      </w:r>
      <w:r w:rsidR="00342144">
        <w:rPr>
          <w:lang w:val="fr-BE"/>
        </w:rPr>
        <w:t xml:space="preserve">ni pour les personnes majeures incapables </w:t>
      </w:r>
      <w:r w:rsidR="00D13B3E" w:rsidRPr="00D001D9">
        <w:rPr>
          <w:lang w:val="fr-BE"/>
        </w:rPr>
        <w:t>afin d</w:t>
      </w:r>
      <w:r w:rsidR="00D001D9">
        <w:rPr>
          <w:lang w:val="fr-BE"/>
        </w:rPr>
        <w:t xml:space="preserve">e </w:t>
      </w:r>
      <w:r w:rsidR="00900CA6">
        <w:rPr>
          <w:lang w:val="fr-BE"/>
        </w:rPr>
        <w:t xml:space="preserve">les </w:t>
      </w:r>
      <w:r w:rsidR="00D001D9">
        <w:rPr>
          <w:lang w:val="fr-BE"/>
        </w:rPr>
        <w:t>protéger</w:t>
      </w:r>
      <w:r w:rsidR="00900CA6">
        <w:rPr>
          <w:lang w:val="fr-BE"/>
        </w:rPr>
        <w:t xml:space="preserve"> et d’éviter un éventuel abus ou pression.</w:t>
      </w:r>
      <w:r w:rsidR="00D001D9" w:rsidRPr="00D001D9">
        <w:rPr>
          <w:rStyle w:val="Appelnotedebasdep"/>
          <w:lang w:val="fr-BE"/>
        </w:rPr>
        <w:footnoteReference w:id="1"/>
      </w:r>
      <w:r w:rsidR="00900CA6">
        <w:rPr>
          <w:lang w:val="fr-BE"/>
        </w:rPr>
        <w:t xml:space="preserve"> </w:t>
      </w:r>
      <w:r w:rsidR="00342144">
        <w:rPr>
          <w:lang w:val="fr-BE"/>
        </w:rPr>
        <w:t>Les mineurs capables (opposition ou consentement), comme les représentants légaux des personnes incapables (uniquement opposition)</w:t>
      </w:r>
      <w:r w:rsidR="00900CA6">
        <w:rPr>
          <w:lang w:val="fr-BE"/>
        </w:rPr>
        <w:t xml:space="preserve"> peuvent cependant faire enregistrer leur déclaration auprès du médecin ou de la commune. </w:t>
      </w:r>
      <w:r w:rsidR="00342144">
        <w:rPr>
          <w:lang w:val="fr-BE"/>
        </w:rPr>
        <w:t xml:space="preserve">Le principe de prudence envers les personnes les plus vulnérables a jusqu’ici plaidé pour l’enregistrement d’une déclaration papier à la commune - et non d’un </w:t>
      </w:r>
      <w:proofErr w:type="spellStart"/>
      <w:r w:rsidR="00342144">
        <w:rPr>
          <w:lang w:val="fr-BE"/>
        </w:rPr>
        <w:t>auto-enregistrement</w:t>
      </w:r>
      <w:proofErr w:type="spellEnd"/>
      <w:r w:rsidR="00342144">
        <w:rPr>
          <w:lang w:val="fr-BE"/>
        </w:rPr>
        <w:t>.</w:t>
      </w:r>
    </w:p>
    <w:p w14:paraId="5F1399E2" w14:textId="77777777" w:rsidR="00342144" w:rsidRPr="00342144" w:rsidRDefault="00342144" w:rsidP="00342144">
      <w:pPr>
        <w:pStyle w:val="Paragraphedeliste"/>
        <w:jc w:val="both"/>
        <w:rPr>
          <w:i/>
          <w:iCs/>
          <w:lang w:val="fr-BE"/>
        </w:rPr>
      </w:pPr>
    </w:p>
    <w:p w14:paraId="6A7F87B9" w14:textId="77777777" w:rsidR="00342144" w:rsidRPr="006F500A" w:rsidRDefault="00342144" w:rsidP="00A47B3B">
      <w:pPr>
        <w:pStyle w:val="Paragraphedeliste"/>
        <w:rPr>
          <w:b/>
          <w:bCs/>
          <w:lang w:val="fr-BE"/>
        </w:rPr>
      </w:pPr>
    </w:p>
    <w:p w14:paraId="450A0E50" w14:textId="3098BF5E" w:rsidR="00A47B3B" w:rsidRDefault="00A47B3B" w:rsidP="00522B3D">
      <w:pPr>
        <w:pStyle w:val="Paragraphedeliste"/>
        <w:numPr>
          <w:ilvl w:val="0"/>
          <w:numId w:val="3"/>
        </w:numPr>
        <w:jc w:val="both"/>
        <w:rPr>
          <w:b/>
          <w:bCs/>
          <w:lang w:val="fr-BE"/>
        </w:rPr>
      </w:pPr>
      <w:r w:rsidRPr="00A47B3B">
        <w:rPr>
          <w:b/>
          <w:bCs/>
          <w:lang w:val="fr-BE"/>
        </w:rPr>
        <w:t xml:space="preserve">Déclarations </w:t>
      </w:r>
      <w:r w:rsidR="00FB7CBD">
        <w:rPr>
          <w:b/>
          <w:bCs/>
          <w:lang w:val="fr-BE"/>
        </w:rPr>
        <w:t xml:space="preserve">anticipées relatives aux soins </w:t>
      </w:r>
      <w:r w:rsidRPr="00A47B3B">
        <w:rPr>
          <w:b/>
          <w:bCs/>
          <w:lang w:val="fr-BE"/>
        </w:rPr>
        <w:t>dans le cadre d</w:t>
      </w:r>
      <w:r>
        <w:rPr>
          <w:b/>
          <w:bCs/>
          <w:lang w:val="fr-BE"/>
        </w:rPr>
        <w:t xml:space="preserve">e la loi droits du patient </w:t>
      </w:r>
    </w:p>
    <w:p w14:paraId="7F3627AE" w14:textId="77777777" w:rsidR="00CD7AF9" w:rsidRDefault="00CD7AF9" w:rsidP="00CD7AF9">
      <w:pPr>
        <w:pStyle w:val="Paragraphedeliste"/>
        <w:rPr>
          <w:b/>
          <w:bCs/>
          <w:lang w:val="fr-BE"/>
        </w:rPr>
      </w:pPr>
    </w:p>
    <w:p w14:paraId="0B0030E5" w14:textId="47C37FFA" w:rsidR="00D922B3" w:rsidRDefault="00CD7AF9" w:rsidP="00522B3D">
      <w:pPr>
        <w:pStyle w:val="Sansinterligne"/>
        <w:jc w:val="both"/>
        <w:rPr>
          <w:lang w:val="fr-BE"/>
        </w:rPr>
      </w:pPr>
      <w:r w:rsidRPr="00522B3D">
        <w:rPr>
          <w:lang w:val="fr-BE"/>
        </w:rPr>
        <w:t>Loi du 22 août 2002 relative aux droits du patient</w:t>
      </w:r>
      <w:r w:rsidR="00522B3D">
        <w:rPr>
          <w:lang w:val="fr-BE"/>
        </w:rPr>
        <w:t xml:space="preserve">, </w:t>
      </w:r>
      <w:r w:rsidR="00522B3D" w:rsidRPr="00522B3D">
        <w:rPr>
          <w:lang w:val="fr-BE"/>
        </w:rPr>
        <w:t>art</w:t>
      </w:r>
      <w:r w:rsidR="00522B3D">
        <w:rPr>
          <w:lang w:val="fr-BE"/>
        </w:rPr>
        <w:t xml:space="preserve">. </w:t>
      </w:r>
      <w:r w:rsidR="00522B3D" w:rsidRPr="00522B3D">
        <w:rPr>
          <w:lang w:val="fr-BE"/>
        </w:rPr>
        <w:t>8/2 §3</w:t>
      </w:r>
      <w:r w:rsidR="00522B3D">
        <w:rPr>
          <w:lang w:val="fr-BE"/>
        </w:rPr>
        <w:t xml:space="preserve"> </w:t>
      </w:r>
      <w:r w:rsidRPr="00522B3D">
        <w:rPr>
          <w:lang w:val="fr-BE"/>
        </w:rPr>
        <w:t xml:space="preserve">(compétence : </w:t>
      </w:r>
      <w:r w:rsidR="00522B3D" w:rsidRPr="00522B3D">
        <w:rPr>
          <w:b/>
          <w:bCs/>
          <w:lang w:val="fr-BE"/>
        </w:rPr>
        <w:t>s</w:t>
      </w:r>
      <w:r w:rsidRPr="00522B3D">
        <w:rPr>
          <w:b/>
          <w:bCs/>
          <w:lang w:val="fr-BE"/>
        </w:rPr>
        <w:t>anté publique</w:t>
      </w:r>
      <w:r w:rsidRPr="00522B3D">
        <w:rPr>
          <w:lang w:val="fr-BE"/>
        </w:rPr>
        <w:t>)</w:t>
      </w:r>
    </w:p>
    <w:p w14:paraId="38DBB093" w14:textId="21607292" w:rsidR="00CD7AF9" w:rsidRPr="00EC7802" w:rsidRDefault="00CD7AF9" w:rsidP="00EC7802"/>
    <w:p w14:paraId="331C0CA7" w14:textId="224A2EED" w:rsidR="00B15F60" w:rsidRDefault="007C78CA" w:rsidP="00470040">
      <w:pPr>
        <w:pStyle w:val="Sansinterligne"/>
        <w:ind w:left="708"/>
        <w:jc w:val="both"/>
        <w:rPr>
          <w:lang w:val="fr-BE"/>
        </w:rPr>
      </w:pPr>
      <w:r w:rsidRPr="007C78CA">
        <w:rPr>
          <w:lang w:val="fr-BE"/>
        </w:rPr>
        <w:t xml:space="preserve">Depuis 2024, la </w:t>
      </w:r>
      <w:r w:rsidRPr="006F500A">
        <w:rPr>
          <w:b/>
          <w:bCs/>
          <w:lang w:val="fr-BE"/>
        </w:rPr>
        <w:t>déclaration anticipée peut être positive</w:t>
      </w:r>
      <w:r w:rsidRPr="007C78CA">
        <w:rPr>
          <w:lang w:val="fr-BE"/>
        </w:rPr>
        <w:t xml:space="preserve"> (le médecin en </w:t>
      </w:r>
      <w:r w:rsidR="00FB7CBD">
        <w:rPr>
          <w:lang w:val="fr-BE"/>
        </w:rPr>
        <w:t>« </w:t>
      </w:r>
      <w:r w:rsidRPr="007C78CA">
        <w:rPr>
          <w:lang w:val="fr-BE"/>
        </w:rPr>
        <w:t>tient compte</w:t>
      </w:r>
      <w:r w:rsidR="00FB7CBD">
        <w:rPr>
          <w:lang w:val="fr-BE"/>
        </w:rPr>
        <w:t> »</w:t>
      </w:r>
      <w:r w:rsidR="00470040">
        <w:rPr>
          <w:lang w:val="fr-BE"/>
        </w:rPr>
        <w:t xml:space="preserve"> dans la mesure du possible</w:t>
      </w:r>
      <w:r w:rsidRPr="007C78CA">
        <w:rPr>
          <w:lang w:val="fr-BE"/>
        </w:rPr>
        <w:t xml:space="preserve">) comme </w:t>
      </w:r>
      <w:r w:rsidRPr="006F500A">
        <w:rPr>
          <w:b/>
          <w:bCs/>
          <w:lang w:val="fr-BE"/>
        </w:rPr>
        <w:t>négative</w:t>
      </w:r>
      <w:r w:rsidRPr="007C78CA">
        <w:rPr>
          <w:lang w:val="fr-BE"/>
        </w:rPr>
        <w:t xml:space="preserve"> (le médecin doit respecter le refus</w:t>
      </w:r>
      <w:r w:rsidR="00470040">
        <w:rPr>
          <w:lang w:val="fr-BE"/>
        </w:rPr>
        <w:t xml:space="preserve"> de soins</w:t>
      </w:r>
      <w:r w:rsidRPr="007C78CA">
        <w:rPr>
          <w:lang w:val="fr-BE"/>
        </w:rPr>
        <w:t xml:space="preserve">). </w:t>
      </w:r>
    </w:p>
    <w:p w14:paraId="76134162" w14:textId="77A13F8B" w:rsidR="006228E8" w:rsidRDefault="00822B4C" w:rsidP="006228E8">
      <w:pPr>
        <w:pStyle w:val="Sansinterligne"/>
        <w:ind w:left="708"/>
        <w:jc w:val="both"/>
        <w:rPr>
          <w:lang w:val="fr-BE"/>
        </w:rPr>
      </w:pPr>
      <w:r>
        <w:rPr>
          <w:lang w:val="fr-BE"/>
        </w:rPr>
        <w:t xml:space="preserve">Pas de modèle ni d’enregistrement prévu actuellement. </w:t>
      </w:r>
      <w:r w:rsidR="009518B1">
        <w:rPr>
          <w:lang w:val="fr-BE"/>
        </w:rPr>
        <w:t xml:space="preserve">La loi prévoit que des </w:t>
      </w:r>
      <w:r w:rsidR="009518B1" w:rsidRPr="009518B1">
        <w:rPr>
          <w:b/>
          <w:bCs/>
          <w:lang w:val="fr-BE"/>
        </w:rPr>
        <w:t>arrêtés royaux</w:t>
      </w:r>
      <w:r w:rsidR="009518B1">
        <w:rPr>
          <w:lang w:val="fr-BE"/>
        </w:rPr>
        <w:t xml:space="preserve"> puissent </w:t>
      </w:r>
      <w:r w:rsidR="007C78CA" w:rsidRPr="007C78CA">
        <w:rPr>
          <w:lang w:val="fr-BE"/>
        </w:rPr>
        <w:t>déterminer les règles concernant la manière de rédiger cette déclaration</w:t>
      </w:r>
      <w:r w:rsidR="006228E8">
        <w:rPr>
          <w:lang w:val="fr-BE"/>
        </w:rPr>
        <w:t xml:space="preserve">, </w:t>
      </w:r>
      <w:r w:rsidR="006228E8" w:rsidRPr="006228E8">
        <w:rPr>
          <w:lang w:val="fr-BE"/>
        </w:rPr>
        <w:t>déterminer la manière dont le patient peut établir par voie électronique une déclaration anticipée, de même que la manière et les conditions selon lesquelles un professionnel de</w:t>
      </w:r>
      <w:r w:rsidR="00844438">
        <w:rPr>
          <w:lang w:val="fr-BE"/>
        </w:rPr>
        <w:t xml:space="preserve"> </w:t>
      </w:r>
      <w:r w:rsidR="006228E8" w:rsidRPr="006228E8">
        <w:rPr>
          <w:lang w:val="fr-BE"/>
        </w:rPr>
        <w:t>soins de santé en reçoit connaissanc</w:t>
      </w:r>
      <w:r w:rsidR="006228E8">
        <w:rPr>
          <w:lang w:val="fr-BE"/>
        </w:rPr>
        <w:t xml:space="preserve">e. </w:t>
      </w:r>
    </w:p>
    <w:p w14:paraId="7F07D41E" w14:textId="77777777" w:rsidR="001E2DC6" w:rsidRDefault="001E2DC6" w:rsidP="00B15F60">
      <w:pPr>
        <w:pStyle w:val="Sansinterligne"/>
        <w:jc w:val="both"/>
        <w:rPr>
          <w:lang w:val="fr-BE"/>
        </w:rPr>
      </w:pPr>
    </w:p>
    <w:p w14:paraId="295AC001" w14:textId="05BAC9F1" w:rsidR="00D13B3E" w:rsidRPr="009518B1" w:rsidRDefault="001E2DC6" w:rsidP="00FB7CBD">
      <w:pPr>
        <w:pStyle w:val="Sansinterligne"/>
        <w:ind w:left="708"/>
        <w:jc w:val="both"/>
        <w:rPr>
          <w:i/>
          <w:iCs/>
          <w:lang w:val="fr-BE"/>
        </w:rPr>
      </w:pPr>
      <w:r>
        <w:rPr>
          <w:lang w:val="fr-BE"/>
        </w:rPr>
        <w:t xml:space="preserve">La loi droits du patient </w:t>
      </w:r>
      <w:r w:rsidR="004A2111">
        <w:rPr>
          <w:lang w:val="fr-BE"/>
        </w:rPr>
        <w:t>définit également la</w:t>
      </w:r>
      <w:r>
        <w:rPr>
          <w:lang w:val="fr-BE"/>
        </w:rPr>
        <w:t xml:space="preserve"> </w:t>
      </w:r>
      <w:r w:rsidRPr="006F500A">
        <w:rPr>
          <w:b/>
          <w:bCs/>
          <w:lang w:val="fr-BE"/>
        </w:rPr>
        <w:t>planification anticipée des soins</w:t>
      </w:r>
      <w:r w:rsidR="004A2111">
        <w:rPr>
          <w:lang w:val="fr-BE"/>
        </w:rPr>
        <w:t xml:space="preserve"> comme un </w:t>
      </w:r>
      <w:r w:rsidR="004A2111" w:rsidRPr="004A2111">
        <w:rPr>
          <w:lang w:val="fr-BE"/>
        </w:rPr>
        <w:t>processus continu de réflexion et de communication entre le patient, le(s) professionnel(s) des soins de santé et, à la demande du patient, les proches dans le but de discuter des valeurs, des objectifs de vie et des préférences en matière de soins actuels et futur</w:t>
      </w:r>
      <w:r w:rsidR="004A2111">
        <w:rPr>
          <w:lang w:val="fr-BE"/>
        </w:rPr>
        <w:t>. C</w:t>
      </w:r>
      <w:r w:rsidRPr="007C78CA">
        <w:rPr>
          <w:lang w:val="fr-BE"/>
        </w:rPr>
        <w:t xml:space="preserve">ela recouvre un champ d’action complexe </w:t>
      </w:r>
      <w:r w:rsidR="002012AE">
        <w:rPr>
          <w:lang w:val="fr-BE"/>
        </w:rPr>
        <w:t>d’autant plus que cette</w:t>
      </w:r>
      <w:r w:rsidRPr="007C78CA">
        <w:rPr>
          <w:lang w:val="fr-BE"/>
        </w:rPr>
        <w:t xml:space="preserve"> planification peut être orale.</w:t>
      </w:r>
      <w:r w:rsidR="004A2111">
        <w:rPr>
          <w:lang w:val="fr-BE"/>
        </w:rPr>
        <w:t xml:space="preserve"> </w:t>
      </w:r>
      <w:r w:rsidR="00844438">
        <w:rPr>
          <w:lang w:val="fr-BE"/>
        </w:rPr>
        <w:t xml:space="preserve">Aucune précision n’est ajoutée dans la loi. </w:t>
      </w:r>
    </w:p>
    <w:p w14:paraId="715D3A06" w14:textId="50DED777" w:rsidR="00E60E1F" w:rsidRDefault="00E60E1F" w:rsidP="00CD7AF9">
      <w:pPr>
        <w:pStyle w:val="Sansinterligne"/>
        <w:ind w:left="708"/>
        <w:jc w:val="both"/>
        <w:rPr>
          <w:lang w:val="fr-BE"/>
        </w:rPr>
      </w:pPr>
      <w:r w:rsidRPr="00DB2386">
        <w:rPr>
          <w:lang w:val="fr-BE"/>
        </w:rPr>
        <w:t>A cet égard, on peut s’interroger sur l</w:t>
      </w:r>
      <w:r w:rsidR="00B50A27" w:rsidRPr="00DB2386">
        <w:rPr>
          <w:lang w:val="fr-BE"/>
        </w:rPr>
        <w:t xml:space="preserve">e chevauchement </w:t>
      </w:r>
      <w:r w:rsidR="009518B1">
        <w:rPr>
          <w:lang w:val="fr-BE"/>
        </w:rPr>
        <w:t xml:space="preserve">potentiel </w:t>
      </w:r>
      <w:r w:rsidR="00DB2386" w:rsidRPr="00DB2386">
        <w:rPr>
          <w:lang w:val="fr-BE"/>
        </w:rPr>
        <w:t xml:space="preserve">du champ d’application </w:t>
      </w:r>
      <w:r w:rsidRPr="00DB2386">
        <w:rPr>
          <w:lang w:val="fr-BE"/>
        </w:rPr>
        <w:t xml:space="preserve">de la </w:t>
      </w:r>
      <w:proofErr w:type="spellStart"/>
      <w:r w:rsidRPr="00DB2386">
        <w:rPr>
          <w:lang w:val="fr-BE"/>
        </w:rPr>
        <w:t>plantification</w:t>
      </w:r>
      <w:proofErr w:type="spellEnd"/>
      <w:r w:rsidRPr="00DB2386">
        <w:rPr>
          <w:lang w:val="fr-BE"/>
        </w:rPr>
        <w:t xml:space="preserve"> anticipée des soins « droits du patient »</w:t>
      </w:r>
      <w:r w:rsidR="00780859" w:rsidRPr="00DB2386">
        <w:rPr>
          <w:lang w:val="fr-BE"/>
        </w:rPr>
        <w:t xml:space="preserve"> et de l’</w:t>
      </w:r>
      <w:proofErr w:type="spellStart"/>
      <w:r w:rsidR="00780859" w:rsidRPr="00DB2386">
        <w:rPr>
          <w:lang w:val="fr-BE"/>
        </w:rPr>
        <w:t>advance</w:t>
      </w:r>
      <w:proofErr w:type="spellEnd"/>
      <w:r w:rsidR="00780859" w:rsidRPr="00DB2386">
        <w:rPr>
          <w:lang w:val="fr-BE"/>
        </w:rPr>
        <w:t xml:space="preserve"> care planning </w:t>
      </w:r>
      <w:r w:rsidR="00DB2386" w:rsidRPr="00DB2386">
        <w:rPr>
          <w:lang w:val="fr-BE"/>
        </w:rPr>
        <w:t xml:space="preserve">prévu dans le cadre des </w:t>
      </w:r>
      <w:r w:rsidR="00B50A27" w:rsidRPr="00DB2386">
        <w:rPr>
          <w:lang w:val="fr-BE"/>
        </w:rPr>
        <w:t xml:space="preserve">soins palliatifs </w:t>
      </w:r>
      <w:r w:rsidR="00780859" w:rsidRPr="00DB2386">
        <w:rPr>
          <w:lang w:val="fr-BE"/>
        </w:rPr>
        <w:t>ci-dessous.</w:t>
      </w:r>
      <w:r w:rsidR="00780859">
        <w:rPr>
          <w:lang w:val="fr-BE"/>
        </w:rPr>
        <w:t xml:space="preserve"> </w:t>
      </w:r>
    </w:p>
    <w:p w14:paraId="3270C1D0" w14:textId="77777777" w:rsidR="00166BE7" w:rsidRDefault="00166BE7" w:rsidP="00CD7AF9">
      <w:pPr>
        <w:pStyle w:val="Sansinterligne"/>
        <w:ind w:left="708"/>
        <w:jc w:val="both"/>
        <w:rPr>
          <w:lang w:val="fr-BE"/>
        </w:rPr>
      </w:pPr>
    </w:p>
    <w:p w14:paraId="03DF55C6" w14:textId="6C4D9A41" w:rsidR="00166BE7" w:rsidRDefault="00166BE7" w:rsidP="00166BE7">
      <w:pPr>
        <w:pStyle w:val="Sansinterligne"/>
        <w:numPr>
          <w:ilvl w:val="0"/>
          <w:numId w:val="3"/>
        </w:numPr>
        <w:jc w:val="both"/>
        <w:rPr>
          <w:lang w:val="fr-BE"/>
        </w:rPr>
      </w:pPr>
      <w:r w:rsidRPr="00844438">
        <w:rPr>
          <w:b/>
          <w:bCs/>
          <w:lang w:val="fr-BE"/>
        </w:rPr>
        <w:t xml:space="preserve">Désignation </w:t>
      </w:r>
      <w:proofErr w:type="spellStart"/>
      <w:r w:rsidR="009475EB" w:rsidRPr="00844438">
        <w:rPr>
          <w:b/>
          <w:bCs/>
          <w:lang w:val="fr-BE"/>
        </w:rPr>
        <w:t>ancticipée</w:t>
      </w:r>
      <w:proofErr w:type="spellEnd"/>
      <w:r w:rsidR="009475EB" w:rsidRPr="00844438">
        <w:rPr>
          <w:b/>
          <w:bCs/>
          <w:lang w:val="fr-BE"/>
        </w:rPr>
        <w:t xml:space="preserve"> </w:t>
      </w:r>
      <w:r w:rsidRPr="00844438">
        <w:rPr>
          <w:b/>
          <w:bCs/>
          <w:lang w:val="fr-BE"/>
        </w:rPr>
        <w:t>d’un représentant dans le cadre de la loi relative aux droits du patient</w:t>
      </w:r>
    </w:p>
    <w:p w14:paraId="076C69E0" w14:textId="77777777" w:rsidR="00166BE7" w:rsidRDefault="00166BE7" w:rsidP="00166BE7">
      <w:pPr>
        <w:pStyle w:val="Sansinterligne"/>
        <w:ind w:left="720"/>
        <w:jc w:val="both"/>
        <w:rPr>
          <w:lang w:val="fr-BE"/>
        </w:rPr>
      </w:pPr>
    </w:p>
    <w:p w14:paraId="2B31A4B9" w14:textId="52D14BE2" w:rsidR="00844438" w:rsidRDefault="00844438" w:rsidP="00844438">
      <w:pPr>
        <w:pStyle w:val="Sansinterligne"/>
        <w:jc w:val="both"/>
        <w:rPr>
          <w:lang w:val="fr-BE"/>
        </w:rPr>
      </w:pPr>
      <w:r w:rsidRPr="00522B3D">
        <w:rPr>
          <w:lang w:val="fr-BE"/>
        </w:rPr>
        <w:t>Loi du 22 août 2002 relative aux droits du patient</w:t>
      </w:r>
      <w:r>
        <w:rPr>
          <w:lang w:val="fr-BE"/>
        </w:rPr>
        <w:t xml:space="preserve">, </w:t>
      </w:r>
      <w:r w:rsidRPr="00522B3D">
        <w:rPr>
          <w:lang w:val="fr-BE"/>
        </w:rPr>
        <w:t>art</w:t>
      </w:r>
      <w:r>
        <w:rPr>
          <w:lang w:val="fr-BE"/>
        </w:rPr>
        <w:t xml:space="preserve">. 14 </w:t>
      </w:r>
      <w:r w:rsidRPr="00522B3D">
        <w:rPr>
          <w:lang w:val="fr-BE"/>
        </w:rPr>
        <w:t xml:space="preserve">(compétence : </w:t>
      </w:r>
      <w:r w:rsidRPr="00522B3D">
        <w:rPr>
          <w:b/>
          <w:bCs/>
          <w:lang w:val="fr-BE"/>
        </w:rPr>
        <w:t>santé publique</w:t>
      </w:r>
      <w:r w:rsidRPr="00522B3D">
        <w:rPr>
          <w:lang w:val="fr-BE"/>
        </w:rPr>
        <w:t>)</w:t>
      </w:r>
    </w:p>
    <w:p w14:paraId="785630FA" w14:textId="77777777" w:rsidR="00844438" w:rsidRDefault="00844438" w:rsidP="00844438">
      <w:pPr>
        <w:pStyle w:val="Sansinterligne"/>
        <w:jc w:val="both"/>
        <w:rPr>
          <w:lang w:val="fr-BE"/>
        </w:rPr>
      </w:pPr>
    </w:p>
    <w:p w14:paraId="08BFCDB9" w14:textId="73F67205" w:rsidR="00822B4C" w:rsidRDefault="00844438" w:rsidP="00844438">
      <w:pPr>
        <w:pStyle w:val="Sansinterligne"/>
        <w:ind w:left="708"/>
        <w:jc w:val="both"/>
        <w:rPr>
          <w:lang w:val="fr-BE"/>
        </w:rPr>
      </w:pPr>
      <w:r>
        <w:rPr>
          <w:lang w:val="fr-BE"/>
        </w:rPr>
        <w:t>L</w:t>
      </w:r>
      <w:r w:rsidR="004E553F">
        <w:rPr>
          <w:lang w:val="fr-BE"/>
        </w:rPr>
        <w:t xml:space="preserve">e patient peut désigner une personne </w:t>
      </w:r>
      <w:r w:rsidR="009475EB">
        <w:rPr>
          <w:lang w:val="fr-BE"/>
        </w:rPr>
        <w:t>susceptible d’</w:t>
      </w:r>
      <w:proofErr w:type="spellStart"/>
      <w:r w:rsidR="009475EB">
        <w:rPr>
          <w:lang w:val="fr-BE"/>
        </w:rPr>
        <w:t>exrcer</w:t>
      </w:r>
      <w:proofErr w:type="spellEnd"/>
      <w:r w:rsidR="009475EB">
        <w:rPr>
          <w:lang w:val="fr-BE"/>
        </w:rPr>
        <w:t xml:space="preserve"> </w:t>
      </w:r>
      <w:r w:rsidR="004E553F">
        <w:rPr>
          <w:lang w:val="fr-BE"/>
        </w:rPr>
        <w:t xml:space="preserve">en son nom ses droits du patient pour le cas où il ne serait plus capable d’exercer ses droits lui-même (mandat simple sous seing privé ou mandat de protection extrajudiciaire visé par le Code civil spécifiant bien l’exercice des droits du patient) . </w:t>
      </w:r>
    </w:p>
    <w:p w14:paraId="22132690" w14:textId="77777777" w:rsidR="00844438" w:rsidRDefault="004E553F" w:rsidP="00844438">
      <w:pPr>
        <w:pStyle w:val="Sansinterligne"/>
        <w:ind w:left="708"/>
        <w:jc w:val="both"/>
        <w:rPr>
          <w:lang w:val="fr-BE"/>
        </w:rPr>
      </w:pPr>
      <w:r w:rsidRPr="00844438">
        <w:rPr>
          <w:b/>
          <w:bCs/>
          <w:lang w:val="fr-BE"/>
        </w:rPr>
        <w:t>Pas d’</w:t>
      </w:r>
      <w:proofErr w:type="spellStart"/>
      <w:r w:rsidRPr="00844438">
        <w:rPr>
          <w:b/>
          <w:bCs/>
          <w:lang w:val="fr-BE"/>
        </w:rPr>
        <w:t>enregistement</w:t>
      </w:r>
      <w:proofErr w:type="spellEnd"/>
      <w:r w:rsidRPr="00844438">
        <w:rPr>
          <w:b/>
          <w:bCs/>
          <w:lang w:val="fr-BE"/>
        </w:rPr>
        <w:t xml:space="preserve"> prévu actuellement</w:t>
      </w:r>
      <w:r>
        <w:rPr>
          <w:lang w:val="fr-BE"/>
        </w:rPr>
        <w:t>. Le patient fait connaître lui-même ce mandat et peut demander qu’il soit inséré dans le dossier patient</w:t>
      </w:r>
      <w:r w:rsidR="00D922B3">
        <w:rPr>
          <w:lang w:val="fr-BE"/>
        </w:rPr>
        <w:t>.</w:t>
      </w:r>
    </w:p>
    <w:p w14:paraId="6458F453" w14:textId="77777777" w:rsidR="00844438" w:rsidRDefault="00844438" w:rsidP="00844438">
      <w:pPr>
        <w:pStyle w:val="Sansinterligne"/>
        <w:ind w:left="708"/>
        <w:jc w:val="both"/>
        <w:rPr>
          <w:lang w:val="fr-BE"/>
        </w:rPr>
      </w:pPr>
    </w:p>
    <w:p w14:paraId="54B51F00" w14:textId="77777777" w:rsidR="00844438" w:rsidRDefault="00844438" w:rsidP="00844438">
      <w:pPr>
        <w:pStyle w:val="Sansinterligne"/>
        <w:ind w:left="720"/>
        <w:jc w:val="both"/>
        <w:rPr>
          <w:lang w:val="fr-BE"/>
        </w:rPr>
      </w:pPr>
    </w:p>
    <w:p w14:paraId="1FE80400" w14:textId="574CD609" w:rsidR="001E2DC6" w:rsidRPr="00844438" w:rsidRDefault="001E2DC6" w:rsidP="00844438">
      <w:pPr>
        <w:pStyle w:val="Sansinterligne"/>
        <w:numPr>
          <w:ilvl w:val="0"/>
          <w:numId w:val="3"/>
        </w:numPr>
        <w:jc w:val="both"/>
        <w:rPr>
          <w:lang w:val="fr-BE"/>
        </w:rPr>
      </w:pPr>
      <w:r w:rsidRPr="00844438">
        <w:rPr>
          <w:b/>
          <w:bCs/>
          <w:lang w:val="fr-BE"/>
        </w:rPr>
        <w:t>L</w:t>
      </w:r>
      <w:r w:rsidR="007C78CA" w:rsidRPr="00844438">
        <w:rPr>
          <w:b/>
          <w:bCs/>
          <w:lang w:val="fr-BE"/>
        </w:rPr>
        <w:t>’</w:t>
      </w:r>
      <w:proofErr w:type="spellStart"/>
      <w:r w:rsidR="007C78CA" w:rsidRPr="00844438">
        <w:rPr>
          <w:b/>
          <w:bCs/>
          <w:lang w:val="fr-BE"/>
        </w:rPr>
        <w:t>advance</w:t>
      </w:r>
      <w:proofErr w:type="spellEnd"/>
      <w:r w:rsidR="007C78CA" w:rsidRPr="00844438">
        <w:rPr>
          <w:b/>
          <w:bCs/>
          <w:lang w:val="fr-BE"/>
        </w:rPr>
        <w:t xml:space="preserve"> care planning</w:t>
      </w:r>
      <w:r w:rsidRPr="00844438">
        <w:rPr>
          <w:b/>
          <w:bCs/>
          <w:lang w:val="fr-BE"/>
        </w:rPr>
        <w:t xml:space="preserve"> </w:t>
      </w:r>
      <w:r w:rsidR="0019205D" w:rsidRPr="00844438">
        <w:rPr>
          <w:b/>
          <w:bCs/>
          <w:lang w:val="fr-BE"/>
        </w:rPr>
        <w:t>–</w:t>
      </w:r>
      <w:r w:rsidR="00AF7E2E" w:rsidRPr="00844438">
        <w:rPr>
          <w:b/>
          <w:bCs/>
          <w:lang w:val="fr-BE"/>
        </w:rPr>
        <w:t xml:space="preserve"> uniquement applicable </w:t>
      </w:r>
      <w:r w:rsidR="00AF7E2E">
        <w:rPr>
          <w:b/>
          <w:bCs/>
          <w:lang w:val="fr-BE"/>
        </w:rPr>
        <w:t xml:space="preserve">aux patients </w:t>
      </w:r>
      <w:r w:rsidR="0019205D" w:rsidRPr="00844438">
        <w:rPr>
          <w:b/>
          <w:bCs/>
          <w:lang w:val="fr-BE"/>
        </w:rPr>
        <w:t xml:space="preserve"> palliatifs</w:t>
      </w:r>
    </w:p>
    <w:p w14:paraId="25564607" w14:textId="77777777" w:rsidR="001E2DC6" w:rsidRPr="00844438" w:rsidRDefault="001E2DC6" w:rsidP="001E2DC6">
      <w:pPr>
        <w:pStyle w:val="Sansinterligne"/>
        <w:jc w:val="both"/>
        <w:rPr>
          <w:lang w:val="fr-BE"/>
        </w:rPr>
      </w:pPr>
    </w:p>
    <w:p w14:paraId="6F76C9A7" w14:textId="3288B998" w:rsidR="002012AE" w:rsidRPr="00406F00" w:rsidRDefault="005B54B7" w:rsidP="00EC7802">
      <w:pPr>
        <w:pStyle w:val="Sansinterligne"/>
        <w:jc w:val="both"/>
        <w:rPr>
          <w:lang w:val="fr-BE"/>
        </w:rPr>
      </w:pPr>
      <w:r>
        <w:rPr>
          <w:lang w:val="fr-BE"/>
        </w:rPr>
        <w:t>Loi du 14 juin 2002 relative aux soins palliatifs (</w:t>
      </w:r>
      <w:r w:rsidRPr="00844438">
        <w:rPr>
          <w:lang w:val="fr-BE"/>
        </w:rPr>
        <w:t xml:space="preserve">compétence : </w:t>
      </w:r>
      <w:r w:rsidRPr="00844438">
        <w:rPr>
          <w:b/>
          <w:bCs/>
          <w:lang w:val="fr-BE"/>
        </w:rPr>
        <w:t>santé publique</w:t>
      </w:r>
      <w:r w:rsidRPr="00844438">
        <w:rPr>
          <w:lang w:val="fr-BE"/>
        </w:rPr>
        <w:t>)</w:t>
      </w:r>
    </w:p>
    <w:p w14:paraId="13CE138F" w14:textId="4511DD74" w:rsidR="005B54B7" w:rsidRPr="005B54B7" w:rsidRDefault="005B54B7" w:rsidP="00EC7802">
      <w:pPr>
        <w:pStyle w:val="Sansinterligne"/>
        <w:jc w:val="both"/>
        <w:rPr>
          <w:lang w:val="fr-BE"/>
        </w:rPr>
      </w:pPr>
      <w:r w:rsidRPr="005B54B7">
        <w:rPr>
          <w:lang w:val="fr-BE"/>
        </w:rPr>
        <w:t>Arrêté royal d</w:t>
      </w:r>
      <w:r w:rsidR="004F3D2E">
        <w:rPr>
          <w:lang w:val="fr-BE"/>
        </w:rPr>
        <w:t>u</w:t>
      </w:r>
      <w:r w:rsidRPr="005B54B7">
        <w:rPr>
          <w:kern w:val="0"/>
          <w:lang w:val="fr-BE"/>
        </w:rPr>
        <w:t xml:space="preserve"> </w:t>
      </w:r>
      <w:hyperlink r:id="rId13" w:tgtFrame="_blanck" w:history="1">
        <w:r w:rsidRPr="005B54B7">
          <w:rPr>
            <w:rStyle w:val="Lienhypertexte"/>
            <w:color w:val="auto"/>
            <w:u w:val="none"/>
            <w:lang w:val="fr-BE"/>
          </w:rPr>
          <w:t>21 octobre 2018</w:t>
        </w:r>
        <w:r>
          <w:rPr>
            <w:rStyle w:val="Lienhypertexte"/>
            <w:color w:val="auto"/>
            <w:u w:val="none"/>
            <w:lang w:val="fr-BE"/>
          </w:rPr>
          <w:t xml:space="preserve"> </w:t>
        </w:r>
        <w:r w:rsidRPr="005B54B7">
          <w:rPr>
            <w:rStyle w:val="Lienhypertexte"/>
            <w:color w:val="auto"/>
            <w:u w:val="none"/>
            <w:lang w:val="fr-BE"/>
          </w:rPr>
          <w:t>fixant les critères pour identifier un patient palliatif</w:t>
        </w:r>
      </w:hyperlink>
      <w:r w:rsidRPr="005B54B7">
        <w:rPr>
          <w:lang w:val="fr-BE"/>
        </w:rPr>
        <w:t xml:space="preserve">  (compétence : santé publique</w:t>
      </w:r>
      <w:r>
        <w:rPr>
          <w:lang w:val="fr-BE"/>
        </w:rPr>
        <w:t xml:space="preserve">) </w:t>
      </w:r>
    </w:p>
    <w:p w14:paraId="028E0CC7" w14:textId="77777777" w:rsidR="005B54B7" w:rsidRDefault="005B54B7" w:rsidP="005B54B7">
      <w:pPr>
        <w:pStyle w:val="Sansinterligne"/>
        <w:ind w:firstLine="708"/>
        <w:jc w:val="both"/>
        <w:rPr>
          <w:lang w:val="fr-BE"/>
        </w:rPr>
      </w:pPr>
    </w:p>
    <w:p w14:paraId="38E527AC" w14:textId="77777777" w:rsidR="00EC7802" w:rsidRDefault="002012AE" w:rsidP="00EC7802">
      <w:pPr>
        <w:pStyle w:val="Sansinterligne"/>
        <w:jc w:val="both"/>
        <w:rPr>
          <w:lang w:val="fr-BE"/>
        </w:rPr>
      </w:pPr>
      <w:r w:rsidRPr="002012AE">
        <w:rPr>
          <w:lang w:val="fr-BE"/>
        </w:rPr>
        <w:t>Arrêté royal du 4 septembre 2022 modifiant l’article 2 de l’annexe à l’arrêté royal du 14 septembre 1984 établissant la nomenclature des prestations de santé en matière d’assurance obligatoire soins de santé et indemnités</w:t>
      </w:r>
      <w:r>
        <w:rPr>
          <w:lang w:val="fr-BE"/>
        </w:rPr>
        <w:t xml:space="preserve"> (compétence :</w:t>
      </w:r>
      <w:r w:rsidRPr="00844438">
        <w:rPr>
          <w:b/>
          <w:bCs/>
          <w:lang w:val="fr-BE"/>
        </w:rPr>
        <w:t xml:space="preserve"> INAMI</w:t>
      </w:r>
      <w:r>
        <w:rPr>
          <w:lang w:val="fr-BE"/>
        </w:rPr>
        <w:t>)</w:t>
      </w:r>
      <w:r w:rsidR="00EC7802">
        <w:rPr>
          <w:lang w:val="fr-BE"/>
        </w:rPr>
        <w:t>.</w:t>
      </w:r>
    </w:p>
    <w:p w14:paraId="254A8FD4" w14:textId="77777777" w:rsidR="00EC7802" w:rsidRDefault="00EC7802" w:rsidP="00EC7802">
      <w:pPr>
        <w:pStyle w:val="Sansinterligne"/>
        <w:jc w:val="both"/>
        <w:rPr>
          <w:lang w:val="fr-BE"/>
        </w:rPr>
      </w:pPr>
    </w:p>
    <w:p w14:paraId="6E1B773B" w14:textId="50491179" w:rsidR="00927E5B" w:rsidRDefault="00EC7802" w:rsidP="00855C84">
      <w:pPr>
        <w:pStyle w:val="Sansinterligne"/>
        <w:ind w:left="708"/>
        <w:jc w:val="both"/>
        <w:rPr>
          <w:lang w:val="fr-BE"/>
        </w:rPr>
      </w:pPr>
      <w:r>
        <w:rPr>
          <w:lang w:val="fr-BE"/>
        </w:rPr>
        <w:t>D</w:t>
      </w:r>
      <w:r w:rsidR="002012AE">
        <w:rPr>
          <w:lang w:val="fr-BE"/>
        </w:rPr>
        <w:t>epuis le</w:t>
      </w:r>
      <w:r w:rsidR="002012AE" w:rsidRPr="004F3D2E">
        <w:rPr>
          <w:lang w:val="fr-BE"/>
        </w:rPr>
        <w:t xml:space="preserve"> 1er novembre 2022,</w:t>
      </w:r>
      <w:r w:rsidR="00406F00">
        <w:rPr>
          <w:lang w:val="fr-BE"/>
        </w:rPr>
        <w:t xml:space="preserve"> </w:t>
      </w:r>
      <w:r w:rsidR="002012AE" w:rsidRPr="004F3D2E">
        <w:rPr>
          <w:lang w:val="fr-BE"/>
        </w:rPr>
        <w:t>un honoraire </w:t>
      </w:r>
      <w:r w:rsidR="002012AE">
        <w:rPr>
          <w:lang w:val="fr-BE"/>
        </w:rPr>
        <w:t xml:space="preserve">spécifique </w:t>
      </w:r>
      <w:r w:rsidR="00AF7E2E">
        <w:rPr>
          <w:lang w:val="fr-BE"/>
        </w:rPr>
        <w:t xml:space="preserve">(pour médecin généraliste) </w:t>
      </w:r>
      <w:r w:rsidR="002012AE">
        <w:rPr>
          <w:lang w:val="fr-BE"/>
        </w:rPr>
        <w:t>a été prévu pour la</w:t>
      </w:r>
      <w:r w:rsidR="002012AE" w:rsidRPr="002012AE">
        <w:rPr>
          <w:lang w:val="fr-BE"/>
        </w:rPr>
        <w:t xml:space="preserve"> planification anticipée des soins</w:t>
      </w:r>
      <w:r w:rsidR="002012AE" w:rsidRPr="004F3D2E">
        <w:rPr>
          <w:lang w:val="fr-BE"/>
        </w:rPr>
        <w:t xml:space="preserve"> ou Advance Care Planning (ACP) </w:t>
      </w:r>
      <w:r w:rsidR="002012AE">
        <w:rPr>
          <w:lang w:val="fr-BE"/>
        </w:rPr>
        <w:t xml:space="preserve">qui </w:t>
      </w:r>
      <w:r w:rsidR="002012AE" w:rsidRPr="004F3D2E">
        <w:rPr>
          <w:lang w:val="fr-BE"/>
        </w:rPr>
        <w:t>est une façon de garantir la qualité des soins palliatifs</w:t>
      </w:r>
      <w:r w:rsidR="00855C84">
        <w:rPr>
          <w:lang w:val="fr-BE"/>
        </w:rPr>
        <w:t xml:space="preserve">. </w:t>
      </w:r>
    </w:p>
    <w:p w14:paraId="06629CDE" w14:textId="77777777" w:rsidR="00855C84" w:rsidRDefault="00855C84" w:rsidP="00855C84">
      <w:pPr>
        <w:pStyle w:val="Sansinterligne"/>
        <w:ind w:left="708"/>
        <w:jc w:val="both"/>
        <w:rPr>
          <w:lang w:val="fr-BE"/>
        </w:rPr>
      </w:pPr>
    </w:p>
    <w:p w14:paraId="6CA86B38" w14:textId="06B753FE" w:rsidR="00464C35" w:rsidRDefault="00464C35" w:rsidP="0065300C">
      <w:pPr>
        <w:pStyle w:val="Sansinterligne"/>
        <w:ind w:left="708"/>
        <w:jc w:val="both"/>
        <w:rPr>
          <w:b/>
          <w:bCs/>
          <w:lang w:val="fr-BE"/>
        </w:rPr>
      </w:pPr>
      <w:r>
        <w:rPr>
          <w:lang w:val="fr-BE"/>
        </w:rPr>
        <w:t>L’arrêté royal</w:t>
      </w:r>
      <w:r w:rsidR="00B27993">
        <w:rPr>
          <w:lang w:val="fr-BE"/>
        </w:rPr>
        <w:t xml:space="preserve"> </w:t>
      </w:r>
      <w:r w:rsidR="008F5E0C">
        <w:rPr>
          <w:lang w:val="fr-BE"/>
        </w:rPr>
        <w:t xml:space="preserve">de 2022 susmentionné </w:t>
      </w:r>
      <w:r w:rsidR="00B27993">
        <w:rPr>
          <w:lang w:val="fr-BE"/>
        </w:rPr>
        <w:t>couvre la r</w:t>
      </w:r>
      <w:r w:rsidR="00B27993" w:rsidRPr="00B27993">
        <w:rPr>
          <w:lang w:val="fr-BE"/>
        </w:rPr>
        <w:t xml:space="preserve">édaction et </w:t>
      </w:r>
      <w:r w:rsidR="00B27993">
        <w:rPr>
          <w:lang w:val="fr-BE"/>
        </w:rPr>
        <w:t xml:space="preserve">le </w:t>
      </w:r>
      <w:r w:rsidR="00B27993" w:rsidRPr="00B27993">
        <w:rPr>
          <w:lang w:val="fr-BE"/>
        </w:rPr>
        <w:t xml:space="preserve">suivi de l’Advance Care Planning (ACP) chez des </w:t>
      </w:r>
      <w:r w:rsidR="00B27993" w:rsidRPr="00B27993">
        <w:rPr>
          <w:b/>
          <w:bCs/>
          <w:lang w:val="fr-BE"/>
        </w:rPr>
        <w:t xml:space="preserve">patients </w:t>
      </w:r>
      <w:r w:rsidR="00B27993" w:rsidRPr="00B50A27">
        <w:rPr>
          <w:lang w:val="fr-BE"/>
        </w:rPr>
        <w:t xml:space="preserve">qui ont été identifiés </w:t>
      </w:r>
      <w:r w:rsidR="00B27993" w:rsidRPr="00B27993">
        <w:rPr>
          <w:b/>
          <w:bCs/>
          <w:lang w:val="fr-BE"/>
        </w:rPr>
        <w:t>palliatifs</w:t>
      </w:r>
      <w:r w:rsidR="00B27993" w:rsidRPr="00B27993">
        <w:rPr>
          <w:lang w:val="fr-BE"/>
        </w:rPr>
        <w:t xml:space="preserve"> suivant </w:t>
      </w:r>
      <w:r w:rsidR="00B27993" w:rsidRPr="00B27993">
        <w:rPr>
          <w:lang w:val="fr-BE"/>
        </w:rPr>
        <w:lastRenderedPageBreak/>
        <w:t>l’échelle d’identification du patient palliatif (PICT)</w:t>
      </w:r>
      <w:r w:rsidR="00B27993">
        <w:rPr>
          <w:lang w:val="fr-BE"/>
        </w:rPr>
        <w:t xml:space="preserve">. Il est également indiqué que </w:t>
      </w:r>
      <w:r>
        <w:rPr>
          <w:lang w:val="fr-BE"/>
        </w:rPr>
        <w:t>l’</w:t>
      </w:r>
      <w:r w:rsidRPr="00464C35">
        <w:rPr>
          <w:b/>
          <w:bCs/>
          <w:lang w:val="fr-BE"/>
        </w:rPr>
        <w:t xml:space="preserve">ACP est repris dans le dossier médical </w:t>
      </w:r>
      <w:r w:rsidRPr="00464C35">
        <w:rPr>
          <w:lang w:val="fr-BE"/>
        </w:rPr>
        <w:t>et que son contenu est rendu accessible via un hub.</w:t>
      </w:r>
      <w:r>
        <w:rPr>
          <w:b/>
          <w:bCs/>
          <w:lang w:val="fr-BE"/>
        </w:rPr>
        <w:t xml:space="preserve"> </w:t>
      </w:r>
      <w:r w:rsidR="002D5A7D">
        <w:rPr>
          <w:lang w:val="fr-BE"/>
        </w:rPr>
        <w:t xml:space="preserve">L’arrêté mentionne </w:t>
      </w:r>
      <w:r w:rsidR="002D5A7D" w:rsidRPr="002D5A7D">
        <w:rPr>
          <w:b/>
          <w:bCs/>
          <w:lang w:val="fr-BE"/>
        </w:rPr>
        <w:t>l’INAMI comme</w:t>
      </w:r>
      <w:r w:rsidRPr="00464C35">
        <w:rPr>
          <w:lang w:val="fr-BE"/>
        </w:rPr>
        <w:t xml:space="preserve"> </w:t>
      </w:r>
      <w:r w:rsidRPr="00464C35">
        <w:rPr>
          <w:b/>
          <w:bCs/>
          <w:lang w:val="fr-BE"/>
        </w:rPr>
        <w:t>responsable de traitement</w:t>
      </w:r>
      <w:r w:rsidR="00617A8C">
        <w:rPr>
          <w:b/>
          <w:bCs/>
          <w:lang w:val="fr-BE"/>
        </w:rPr>
        <w:t>.</w:t>
      </w:r>
    </w:p>
    <w:p w14:paraId="4AE9A4DC" w14:textId="3CE777E0" w:rsidR="002F6975" w:rsidRDefault="002F6975" w:rsidP="007354AB">
      <w:pPr>
        <w:pStyle w:val="Sansinterligne"/>
        <w:jc w:val="both"/>
        <w:rPr>
          <w:lang w:val="fr-BE"/>
        </w:rPr>
      </w:pPr>
    </w:p>
    <w:p w14:paraId="17DE602F" w14:textId="0FD3C999" w:rsidR="00464C35" w:rsidRDefault="00464C35" w:rsidP="0065300C">
      <w:pPr>
        <w:pStyle w:val="Sansinterligne"/>
        <w:ind w:left="708"/>
        <w:jc w:val="both"/>
        <w:rPr>
          <w:lang w:val="fr-BE"/>
        </w:rPr>
      </w:pPr>
      <w:r>
        <w:rPr>
          <w:lang w:val="fr-BE"/>
        </w:rPr>
        <w:t xml:space="preserve">Cet arrêté </w:t>
      </w:r>
      <w:r w:rsidR="002D5A7D">
        <w:rPr>
          <w:lang w:val="fr-BE"/>
        </w:rPr>
        <w:t>mentionne également</w:t>
      </w:r>
      <w:r>
        <w:rPr>
          <w:lang w:val="fr-BE"/>
        </w:rPr>
        <w:t xml:space="preserve"> l</w:t>
      </w:r>
      <w:r w:rsidRPr="00464C35">
        <w:rPr>
          <w:lang w:val="fr-BE"/>
        </w:rPr>
        <w:t xml:space="preserve">es </w:t>
      </w:r>
      <w:r w:rsidRPr="007354AB">
        <w:rPr>
          <w:b/>
          <w:bCs/>
          <w:lang w:val="fr-BE"/>
        </w:rPr>
        <w:t>catégories de données</w:t>
      </w:r>
      <w:r w:rsidRPr="00464C35">
        <w:rPr>
          <w:lang w:val="fr-BE"/>
        </w:rPr>
        <w:t xml:space="preserve"> du patient visées par le modèle établi par le Comité de l’assurance</w:t>
      </w:r>
      <w:r>
        <w:rPr>
          <w:lang w:val="fr-BE"/>
        </w:rPr>
        <w:t>, à savoir</w:t>
      </w:r>
      <w:r w:rsidRPr="00464C35">
        <w:rPr>
          <w:lang w:val="fr-BE"/>
        </w:rPr>
        <w:t xml:space="preserve"> :</w:t>
      </w:r>
    </w:p>
    <w:p w14:paraId="2B2C1CC8" w14:textId="5F215EAB" w:rsidR="00464C35" w:rsidRDefault="00844438" w:rsidP="00DA5810">
      <w:pPr>
        <w:pStyle w:val="Sansinterligne"/>
        <w:ind w:left="1416"/>
        <w:jc w:val="both"/>
        <w:rPr>
          <w:lang w:val="fr-BE"/>
        </w:rPr>
      </w:pPr>
      <w:r>
        <w:rPr>
          <w:lang w:val="fr-BE"/>
        </w:rPr>
        <w:t>-</w:t>
      </w:r>
      <w:r w:rsidR="00464C35" w:rsidRPr="00464C35">
        <w:rPr>
          <w:lang w:val="fr-BE"/>
        </w:rPr>
        <w:t xml:space="preserve"> identification et signature ; </w:t>
      </w:r>
    </w:p>
    <w:p w14:paraId="2E702816" w14:textId="77777777" w:rsidR="00464C35" w:rsidRDefault="00464C35" w:rsidP="00DA5810">
      <w:pPr>
        <w:pStyle w:val="Sansinterligne"/>
        <w:ind w:left="1416"/>
        <w:jc w:val="both"/>
        <w:rPr>
          <w:lang w:val="fr-BE"/>
        </w:rPr>
      </w:pPr>
      <w:r w:rsidRPr="00464C35">
        <w:rPr>
          <w:lang w:val="fr-BE"/>
        </w:rPr>
        <w:t xml:space="preserve">- valeurs et convictions personnelles ; </w:t>
      </w:r>
    </w:p>
    <w:p w14:paraId="70565F1A" w14:textId="77777777" w:rsidR="00464C35" w:rsidRDefault="00464C35" w:rsidP="00DA5810">
      <w:pPr>
        <w:pStyle w:val="Sansinterligne"/>
        <w:ind w:left="1416"/>
        <w:jc w:val="both"/>
        <w:rPr>
          <w:lang w:val="fr-BE"/>
        </w:rPr>
      </w:pPr>
      <w:r w:rsidRPr="00464C35">
        <w:rPr>
          <w:lang w:val="fr-BE"/>
        </w:rPr>
        <w:t xml:space="preserve">- identification d’un éventuel représentant légal ; </w:t>
      </w:r>
    </w:p>
    <w:p w14:paraId="48661AA4" w14:textId="77777777" w:rsidR="00464C35" w:rsidRDefault="00464C35" w:rsidP="00DA5810">
      <w:pPr>
        <w:pStyle w:val="Sansinterligne"/>
        <w:ind w:left="1416"/>
        <w:jc w:val="both"/>
        <w:rPr>
          <w:lang w:val="fr-BE"/>
        </w:rPr>
      </w:pPr>
      <w:r w:rsidRPr="00464C35">
        <w:rPr>
          <w:lang w:val="fr-BE"/>
        </w:rPr>
        <w:t xml:space="preserve">- volonté concernant certaines interventions (ou pas) dans le domaine des soins de santé ; </w:t>
      </w:r>
    </w:p>
    <w:p w14:paraId="26A16DA3" w14:textId="77777777" w:rsidR="00464C35" w:rsidRDefault="00464C35" w:rsidP="00DA5810">
      <w:pPr>
        <w:pStyle w:val="Sansinterligne"/>
        <w:ind w:left="1416"/>
        <w:jc w:val="both"/>
        <w:rPr>
          <w:lang w:val="fr-BE"/>
        </w:rPr>
      </w:pPr>
      <w:r w:rsidRPr="00464C35">
        <w:rPr>
          <w:lang w:val="fr-BE"/>
        </w:rPr>
        <w:t xml:space="preserve">- volonté quant à la destination du corps après le décès ; </w:t>
      </w:r>
    </w:p>
    <w:p w14:paraId="5410B9A1" w14:textId="77777777" w:rsidR="00464C35" w:rsidRDefault="00464C35" w:rsidP="00DA5810">
      <w:pPr>
        <w:pStyle w:val="Sansinterligne"/>
        <w:ind w:left="1416"/>
        <w:jc w:val="both"/>
        <w:rPr>
          <w:lang w:val="fr-BE"/>
        </w:rPr>
      </w:pPr>
      <w:r w:rsidRPr="00464C35">
        <w:rPr>
          <w:lang w:val="fr-BE"/>
        </w:rPr>
        <w:t xml:space="preserve">- déclaration de volonté en matière d’euthanasie ; </w:t>
      </w:r>
    </w:p>
    <w:p w14:paraId="4017A000" w14:textId="3C4DC8AD" w:rsidR="002D5A7D" w:rsidRDefault="00464C35" w:rsidP="00DA5810">
      <w:pPr>
        <w:pStyle w:val="Sansinterligne"/>
        <w:ind w:left="1416"/>
        <w:jc w:val="both"/>
        <w:rPr>
          <w:lang w:val="fr-BE"/>
        </w:rPr>
      </w:pPr>
      <w:r w:rsidRPr="00464C35">
        <w:rPr>
          <w:lang w:val="fr-BE"/>
        </w:rPr>
        <w:t xml:space="preserve">- souhaits en matière d’obsèques. </w:t>
      </w:r>
    </w:p>
    <w:p w14:paraId="4A0F473B" w14:textId="77777777" w:rsidR="006918CB" w:rsidRDefault="006918CB" w:rsidP="001D0EAF">
      <w:pPr>
        <w:pStyle w:val="Sansinterligne"/>
        <w:jc w:val="both"/>
        <w:rPr>
          <w:lang w:val="fr-BE"/>
        </w:rPr>
      </w:pPr>
    </w:p>
    <w:p w14:paraId="57A93B3C" w14:textId="7DC94858" w:rsidR="008F5E0C" w:rsidRPr="00844438" w:rsidRDefault="006918CB" w:rsidP="00844438">
      <w:pPr>
        <w:pStyle w:val="Sansinterligne"/>
        <w:numPr>
          <w:ilvl w:val="0"/>
          <w:numId w:val="12"/>
        </w:numPr>
        <w:jc w:val="both"/>
        <w:rPr>
          <w:lang w:val="fr-BE"/>
        </w:rPr>
      </w:pPr>
      <w:r w:rsidRPr="001D0EAF">
        <w:rPr>
          <w:b/>
          <w:bCs/>
          <w:lang w:val="fr-BE"/>
        </w:rPr>
        <w:t>/ ! \</w:t>
      </w:r>
      <w:r w:rsidRPr="001D0EAF">
        <w:rPr>
          <w:lang w:val="fr-BE"/>
        </w:rPr>
        <w:t xml:space="preserve"> </w:t>
      </w:r>
      <w:r w:rsidR="008F5E0C" w:rsidRPr="00844438">
        <w:rPr>
          <w:lang w:val="fr-BE"/>
        </w:rPr>
        <w:t xml:space="preserve">En pratique, est-ce que le patient insère une </w:t>
      </w:r>
      <w:r w:rsidR="008F5E0C" w:rsidRPr="00844438">
        <w:rPr>
          <w:b/>
          <w:bCs/>
          <w:lang w:val="fr-BE"/>
        </w:rPr>
        <w:t xml:space="preserve">copie des déclarations existantes </w:t>
      </w:r>
      <w:r w:rsidR="008F5E0C" w:rsidRPr="00844438">
        <w:rPr>
          <w:lang w:val="fr-BE"/>
        </w:rPr>
        <w:t>dans l’ACP</w:t>
      </w:r>
      <w:r w:rsidR="008F5E0C" w:rsidRPr="00844438">
        <w:rPr>
          <w:b/>
          <w:bCs/>
          <w:lang w:val="fr-BE"/>
        </w:rPr>
        <w:t xml:space="preserve"> ou </w:t>
      </w:r>
      <w:r w:rsidR="008F5E0C" w:rsidRPr="00844438">
        <w:rPr>
          <w:lang w:val="fr-BE"/>
        </w:rPr>
        <w:t>le patient mentionne</w:t>
      </w:r>
      <w:r w:rsidR="00AF7E2E" w:rsidRPr="00844438">
        <w:rPr>
          <w:lang w:val="fr-BE"/>
        </w:rPr>
        <w:t>-t-il</w:t>
      </w:r>
      <w:r w:rsidR="008F5E0C" w:rsidRPr="00844438">
        <w:rPr>
          <w:b/>
          <w:bCs/>
          <w:lang w:val="fr-BE"/>
        </w:rPr>
        <w:t xml:space="preserve"> </w:t>
      </w:r>
      <w:r w:rsidR="00AF7E2E" w:rsidRPr="00844438">
        <w:rPr>
          <w:b/>
          <w:bCs/>
          <w:lang w:val="fr-BE"/>
        </w:rPr>
        <w:t xml:space="preserve">simplement </w:t>
      </w:r>
      <w:r w:rsidR="008F5E0C" w:rsidRPr="00844438">
        <w:rPr>
          <w:b/>
          <w:bCs/>
          <w:lang w:val="fr-BE"/>
        </w:rPr>
        <w:t>s'il existe un certain type de déclaration</w:t>
      </w:r>
      <w:r w:rsidR="008F5E0C" w:rsidRPr="00844438">
        <w:rPr>
          <w:lang w:val="fr-BE"/>
        </w:rPr>
        <w:t xml:space="preserve"> ? Il serait </w:t>
      </w:r>
      <w:r w:rsidRPr="00844438">
        <w:rPr>
          <w:lang w:val="fr-BE"/>
        </w:rPr>
        <w:t xml:space="preserve">nécessaire </w:t>
      </w:r>
      <w:r w:rsidR="008F5E0C" w:rsidRPr="00844438">
        <w:rPr>
          <w:lang w:val="fr-BE"/>
        </w:rPr>
        <w:t xml:space="preserve">de ne faire mention que de l’existence d’une déclaration </w:t>
      </w:r>
      <w:r w:rsidR="00AB30E8" w:rsidRPr="00844438">
        <w:rPr>
          <w:lang w:val="fr-BE"/>
        </w:rPr>
        <w:t xml:space="preserve">lorsque celle-ci </w:t>
      </w:r>
      <w:r w:rsidRPr="00844438">
        <w:rPr>
          <w:lang w:val="fr-BE"/>
        </w:rPr>
        <w:t xml:space="preserve">bénéficie </w:t>
      </w:r>
      <w:r w:rsidR="008F5E0C" w:rsidRPr="00844438">
        <w:rPr>
          <w:lang w:val="fr-BE"/>
        </w:rPr>
        <w:t xml:space="preserve">déjà d’un système </w:t>
      </w:r>
      <w:r w:rsidRPr="00844438">
        <w:rPr>
          <w:lang w:val="fr-BE"/>
        </w:rPr>
        <w:t>d’</w:t>
      </w:r>
      <w:r w:rsidR="008F5E0C" w:rsidRPr="00844438">
        <w:rPr>
          <w:lang w:val="fr-BE"/>
        </w:rPr>
        <w:t xml:space="preserve">enregistrement spécifique (ex. </w:t>
      </w:r>
      <w:proofErr w:type="spellStart"/>
      <w:r w:rsidR="008F5E0C" w:rsidRPr="00844438">
        <w:rPr>
          <w:lang w:val="fr-BE"/>
        </w:rPr>
        <w:t>orgadon</w:t>
      </w:r>
      <w:proofErr w:type="spellEnd"/>
      <w:r w:rsidR="008F5E0C" w:rsidRPr="00844438">
        <w:rPr>
          <w:lang w:val="fr-BE"/>
        </w:rPr>
        <w:t>, euthanasi</w:t>
      </w:r>
      <w:r w:rsidRPr="00844438">
        <w:rPr>
          <w:lang w:val="fr-BE"/>
        </w:rPr>
        <w:t>e, mode de sépulture</w:t>
      </w:r>
      <w:r w:rsidR="008F5E0C" w:rsidRPr="00844438">
        <w:rPr>
          <w:lang w:val="fr-BE"/>
        </w:rPr>
        <w:t>) afin de renvoyer vers la source authentique. Dans le cas contraire, nous risquons d’</w:t>
      </w:r>
      <w:r w:rsidR="008F5E0C" w:rsidRPr="00844438">
        <w:rPr>
          <w:b/>
          <w:bCs/>
          <w:lang w:val="fr-BE"/>
        </w:rPr>
        <w:t xml:space="preserve">affaiblir </w:t>
      </w:r>
      <w:r w:rsidRPr="00844438">
        <w:rPr>
          <w:b/>
          <w:bCs/>
          <w:lang w:val="fr-BE"/>
        </w:rPr>
        <w:t>les</w:t>
      </w:r>
      <w:r w:rsidR="008F5E0C" w:rsidRPr="00844438">
        <w:rPr>
          <w:b/>
          <w:bCs/>
          <w:lang w:val="fr-BE"/>
        </w:rPr>
        <w:t xml:space="preserve"> bases de données</w:t>
      </w:r>
      <w:r w:rsidR="008F5E0C" w:rsidRPr="00844438">
        <w:rPr>
          <w:lang w:val="fr-BE"/>
        </w:rPr>
        <w:t xml:space="preserve"> mises en place depuis des années et de </w:t>
      </w:r>
      <w:r w:rsidR="008F5E0C" w:rsidRPr="00844438">
        <w:rPr>
          <w:b/>
          <w:bCs/>
          <w:lang w:val="fr-BE"/>
        </w:rPr>
        <w:t>créer de la désinformation</w:t>
      </w:r>
      <w:r w:rsidR="008F5E0C" w:rsidRPr="00844438">
        <w:rPr>
          <w:lang w:val="fr-BE"/>
        </w:rPr>
        <w:t xml:space="preserve"> auprès des citoyens comme des professionnels de soins. Cela risque d’arriver si p.ex. un patient palliatif encode dans l'ACP sa volonté en matière de don d'organes sans la faire enregistrer dans </w:t>
      </w:r>
      <w:proofErr w:type="spellStart"/>
      <w:r w:rsidR="008F5E0C" w:rsidRPr="00844438">
        <w:rPr>
          <w:lang w:val="fr-BE"/>
        </w:rPr>
        <w:t>Orgadon</w:t>
      </w:r>
      <w:proofErr w:type="spellEnd"/>
      <w:r w:rsidR="008F5E0C" w:rsidRPr="00844438">
        <w:rPr>
          <w:lang w:val="fr-BE"/>
        </w:rPr>
        <w:t>. Il n'</w:t>
      </w:r>
      <w:r w:rsidR="001D0EAF">
        <w:rPr>
          <w:lang w:val="fr-BE"/>
        </w:rPr>
        <w:t>existe</w:t>
      </w:r>
      <w:r w:rsidR="008F5E0C" w:rsidRPr="00844438">
        <w:rPr>
          <w:lang w:val="fr-BE"/>
        </w:rPr>
        <w:t xml:space="preserve"> déjà </w:t>
      </w:r>
      <w:r w:rsidR="008F5E0C" w:rsidRPr="00844438">
        <w:rPr>
          <w:b/>
          <w:bCs/>
          <w:lang w:val="fr-BE"/>
        </w:rPr>
        <w:t>pas d'obligation d'enregistrer</w:t>
      </w:r>
      <w:r w:rsidR="008F5E0C" w:rsidRPr="00844438">
        <w:rPr>
          <w:lang w:val="fr-BE"/>
        </w:rPr>
        <w:t xml:space="preserve"> les déclarations </w:t>
      </w:r>
      <w:r w:rsidRPr="00844438">
        <w:rPr>
          <w:lang w:val="fr-BE"/>
        </w:rPr>
        <w:t xml:space="preserve">(que ce soit pour le don d’organes ou euthanasie, une version papier est également valable) </w:t>
      </w:r>
      <w:proofErr w:type="spellStart"/>
      <w:r w:rsidR="001D0EAF">
        <w:rPr>
          <w:lang w:val="fr-BE"/>
        </w:rPr>
        <w:t>alos</w:t>
      </w:r>
      <w:proofErr w:type="spellEnd"/>
      <w:r w:rsidR="001D0EAF">
        <w:rPr>
          <w:lang w:val="fr-BE"/>
        </w:rPr>
        <w:t xml:space="preserve"> si en outre,</w:t>
      </w:r>
      <w:r w:rsidRPr="00844438">
        <w:rPr>
          <w:lang w:val="fr-BE"/>
        </w:rPr>
        <w:t xml:space="preserve"> </w:t>
      </w:r>
      <w:r w:rsidR="008F5E0C" w:rsidRPr="00844438">
        <w:rPr>
          <w:lang w:val="fr-BE"/>
        </w:rPr>
        <w:t>on multiplie les enregistrement</w:t>
      </w:r>
      <w:r w:rsidRPr="00844438">
        <w:rPr>
          <w:lang w:val="fr-BE"/>
        </w:rPr>
        <w:t xml:space="preserve">s </w:t>
      </w:r>
      <w:r w:rsidR="008F5E0C" w:rsidRPr="00844438">
        <w:rPr>
          <w:lang w:val="fr-BE"/>
        </w:rPr>
        <w:t xml:space="preserve">dans des bases de données différentes, </w:t>
      </w:r>
      <w:r w:rsidRPr="00844438">
        <w:rPr>
          <w:lang w:val="fr-BE"/>
        </w:rPr>
        <w:t xml:space="preserve">avec </w:t>
      </w:r>
      <w:r w:rsidR="008F5E0C" w:rsidRPr="00844438">
        <w:rPr>
          <w:lang w:val="fr-BE"/>
        </w:rPr>
        <w:t>des accès différents</w:t>
      </w:r>
      <w:r w:rsidRPr="00844438">
        <w:rPr>
          <w:lang w:val="fr-BE"/>
        </w:rPr>
        <w:t xml:space="preserve"> et </w:t>
      </w:r>
      <w:r w:rsidR="008F5E0C" w:rsidRPr="00844438">
        <w:rPr>
          <w:lang w:val="fr-BE"/>
        </w:rPr>
        <w:t>des responsables de traitement différents</w:t>
      </w:r>
      <w:r w:rsidRPr="00844438">
        <w:rPr>
          <w:lang w:val="fr-BE"/>
        </w:rPr>
        <w:t xml:space="preserve">, </w:t>
      </w:r>
      <w:r w:rsidR="00AB30E8" w:rsidRPr="00844438">
        <w:rPr>
          <w:lang w:val="fr-BE"/>
        </w:rPr>
        <w:t>cela crée de</w:t>
      </w:r>
      <w:r w:rsidRPr="00844438">
        <w:rPr>
          <w:lang w:val="fr-BE"/>
        </w:rPr>
        <w:t xml:space="preserve"> la confusion et cela va à l’encontre de l’intérêt du patient. </w:t>
      </w:r>
    </w:p>
    <w:p w14:paraId="616A9DBE" w14:textId="77777777" w:rsidR="006918CB" w:rsidRPr="00FE119E" w:rsidRDefault="006918CB" w:rsidP="006918CB">
      <w:pPr>
        <w:pStyle w:val="Sansinterligne"/>
        <w:ind w:left="1068"/>
        <w:jc w:val="both"/>
        <w:rPr>
          <w:lang w:val="fr-BE"/>
        </w:rPr>
      </w:pPr>
    </w:p>
    <w:p w14:paraId="3C2DF916" w14:textId="595B9D85" w:rsidR="00C054CF" w:rsidRPr="008F5E0C" w:rsidRDefault="00166BE7" w:rsidP="007C1F43">
      <w:pPr>
        <w:pStyle w:val="Sansinterligne"/>
        <w:numPr>
          <w:ilvl w:val="0"/>
          <w:numId w:val="12"/>
        </w:numPr>
        <w:jc w:val="both"/>
        <w:rPr>
          <w:lang w:val="fr-BE"/>
        </w:rPr>
      </w:pPr>
      <w:r>
        <w:rPr>
          <w:lang w:val="fr-BE"/>
        </w:rPr>
        <w:t xml:space="preserve">Il s’agit d’attirer </w:t>
      </w:r>
      <w:r w:rsidR="006918CB">
        <w:rPr>
          <w:lang w:val="fr-BE"/>
        </w:rPr>
        <w:t>également</w:t>
      </w:r>
      <w:r w:rsidR="008F5E0C">
        <w:rPr>
          <w:lang w:val="fr-BE"/>
        </w:rPr>
        <w:t xml:space="preserve"> l’attention des utilisateurs de l’ACP sur l’identification du </w:t>
      </w:r>
      <w:r w:rsidR="008F5E0C" w:rsidRPr="001D0EAF">
        <w:rPr>
          <w:b/>
          <w:bCs/>
          <w:lang w:val="fr-BE"/>
        </w:rPr>
        <w:t xml:space="preserve">représentant </w:t>
      </w:r>
      <w:r w:rsidR="008F5E0C">
        <w:rPr>
          <w:lang w:val="fr-BE"/>
        </w:rPr>
        <w:t xml:space="preserve">légal. De quel représentant légal parle </w:t>
      </w:r>
      <w:proofErr w:type="spellStart"/>
      <w:r w:rsidR="008F5E0C">
        <w:rPr>
          <w:lang w:val="fr-BE"/>
        </w:rPr>
        <w:t>t’on</w:t>
      </w:r>
      <w:proofErr w:type="spellEnd"/>
      <w:r w:rsidR="008F5E0C">
        <w:rPr>
          <w:lang w:val="fr-BE"/>
        </w:rPr>
        <w:t> ? droits de patient ?</w:t>
      </w:r>
      <w:r w:rsidR="00E81DCC">
        <w:rPr>
          <w:lang w:val="fr-BE"/>
        </w:rPr>
        <w:t xml:space="preserve"> : uniquement le mandataire désigné </w:t>
      </w:r>
      <w:r>
        <w:rPr>
          <w:lang w:val="fr-BE"/>
        </w:rPr>
        <w:t xml:space="preserve">préalablement </w:t>
      </w:r>
      <w:r w:rsidR="00E81DCC">
        <w:rPr>
          <w:lang w:val="fr-BE"/>
        </w:rPr>
        <w:t>ou aussi le représentant de la cascade « droits du patient »</w:t>
      </w:r>
      <w:r w:rsidR="001D0EAF">
        <w:rPr>
          <w:lang w:val="fr-BE"/>
        </w:rPr>
        <w:t xml:space="preserve">. </w:t>
      </w:r>
    </w:p>
    <w:p w14:paraId="49D538D3" w14:textId="77777777" w:rsidR="00C054CF" w:rsidRDefault="00C054CF" w:rsidP="007C1F43">
      <w:pPr>
        <w:pStyle w:val="Sansinterligne"/>
        <w:jc w:val="both"/>
        <w:rPr>
          <w:lang w:val="fr-BE"/>
        </w:rPr>
      </w:pPr>
    </w:p>
    <w:p w14:paraId="2F899D91" w14:textId="77777777" w:rsidR="003412B6" w:rsidRDefault="003412B6" w:rsidP="00927E5B">
      <w:pPr>
        <w:pStyle w:val="Sansinterligne"/>
        <w:jc w:val="both"/>
        <w:rPr>
          <w:lang w:val="fr-BE"/>
        </w:rPr>
      </w:pPr>
    </w:p>
    <w:p w14:paraId="279DA2A0" w14:textId="031D56BF" w:rsidR="003412B6" w:rsidRPr="003412B6" w:rsidRDefault="003412B6" w:rsidP="003412B6">
      <w:pPr>
        <w:pStyle w:val="Sansinterligne"/>
        <w:ind w:left="708"/>
        <w:jc w:val="both"/>
        <w:rPr>
          <w:b/>
          <w:bCs/>
          <w:lang w:val="fr-BE"/>
        </w:rPr>
      </w:pPr>
      <w:r w:rsidRPr="003412B6">
        <w:rPr>
          <w:b/>
          <w:bCs/>
          <w:lang w:val="fr-BE"/>
        </w:rPr>
        <w:t>Conclusion</w:t>
      </w:r>
    </w:p>
    <w:p w14:paraId="2834EA8A" w14:textId="77777777" w:rsidR="003412B6" w:rsidRDefault="003412B6" w:rsidP="003412B6">
      <w:pPr>
        <w:pStyle w:val="Sansinterligne"/>
        <w:ind w:left="708"/>
        <w:jc w:val="both"/>
        <w:rPr>
          <w:lang w:val="fr-BE"/>
        </w:rPr>
      </w:pPr>
    </w:p>
    <w:p w14:paraId="17ACAA05" w14:textId="711C54F5" w:rsidR="00DF0859" w:rsidRDefault="00CE4609" w:rsidP="007354AB">
      <w:pPr>
        <w:pStyle w:val="Sansinterligne"/>
        <w:jc w:val="both"/>
        <w:rPr>
          <w:lang w:val="fr-BE"/>
        </w:rPr>
      </w:pPr>
      <w:r>
        <w:rPr>
          <w:lang w:val="fr-BE"/>
        </w:rPr>
        <w:t>Certaines déclarations bénéficient déjà d’un enregistrement</w:t>
      </w:r>
      <w:r w:rsidR="00EC7802">
        <w:rPr>
          <w:lang w:val="fr-BE"/>
        </w:rPr>
        <w:t xml:space="preserve"> électronique, voire p</w:t>
      </w:r>
      <w:r>
        <w:rPr>
          <w:lang w:val="fr-BE"/>
        </w:rPr>
        <w:t xml:space="preserve">arfois également de la possibilité d’un </w:t>
      </w:r>
      <w:proofErr w:type="spellStart"/>
      <w:r>
        <w:rPr>
          <w:lang w:val="fr-BE"/>
        </w:rPr>
        <w:t>auto-enregistrement</w:t>
      </w:r>
      <w:proofErr w:type="spellEnd"/>
      <w:r w:rsidR="00EC7802">
        <w:rPr>
          <w:lang w:val="fr-BE"/>
        </w:rPr>
        <w:t xml:space="preserve"> dans </w:t>
      </w:r>
      <w:r w:rsidR="00855C84">
        <w:rPr>
          <w:lang w:val="fr-BE"/>
        </w:rPr>
        <w:t>des</w:t>
      </w:r>
      <w:r w:rsidR="00EC7802">
        <w:rPr>
          <w:lang w:val="fr-BE"/>
        </w:rPr>
        <w:t xml:space="preserve"> base</w:t>
      </w:r>
      <w:r w:rsidR="00855C84">
        <w:rPr>
          <w:lang w:val="fr-BE"/>
        </w:rPr>
        <w:t>s</w:t>
      </w:r>
      <w:r w:rsidR="00EC7802">
        <w:rPr>
          <w:lang w:val="fr-BE"/>
        </w:rPr>
        <w:t xml:space="preserve"> de données qui relèvent de la </w:t>
      </w:r>
      <w:proofErr w:type="spellStart"/>
      <w:r w:rsidR="00EC7802">
        <w:rPr>
          <w:lang w:val="fr-BE"/>
        </w:rPr>
        <w:t>responbilité</w:t>
      </w:r>
      <w:proofErr w:type="spellEnd"/>
      <w:r w:rsidR="00EC7802">
        <w:rPr>
          <w:lang w:val="fr-BE"/>
        </w:rPr>
        <w:t xml:space="preserve"> de différentes </w:t>
      </w:r>
      <w:proofErr w:type="spellStart"/>
      <w:r w:rsidR="00EC7802">
        <w:rPr>
          <w:lang w:val="fr-BE"/>
        </w:rPr>
        <w:t>instutions</w:t>
      </w:r>
      <w:proofErr w:type="spellEnd"/>
      <w:r w:rsidR="00EC7802">
        <w:rPr>
          <w:lang w:val="fr-BE"/>
        </w:rPr>
        <w:t xml:space="preserve"> (ex. SPF Santé, AFMPS, communes). Les conditions d’</w:t>
      </w:r>
      <w:r>
        <w:rPr>
          <w:lang w:val="fr-BE"/>
        </w:rPr>
        <w:t xml:space="preserve">accès </w:t>
      </w:r>
      <w:r w:rsidR="00EC7802">
        <w:rPr>
          <w:lang w:val="fr-BE"/>
        </w:rPr>
        <w:t xml:space="preserve">aux déclarations sont parfois particulièrement restreintes (ex. </w:t>
      </w:r>
      <w:proofErr w:type="spellStart"/>
      <w:r w:rsidR="00EC7802">
        <w:rPr>
          <w:lang w:val="fr-BE"/>
        </w:rPr>
        <w:t>Orgadon</w:t>
      </w:r>
      <w:proofErr w:type="spellEnd"/>
      <w:r w:rsidR="00EC7802">
        <w:rPr>
          <w:lang w:val="fr-BE"/>
        </w:rPr>
        <w:t xml:space="preserve">, euthanasie). </w:t>
      </w:r>
    </w:p>
    <w:p w14:paraId="20750640" w14:textId="77777777" w:rsidR="007354AB" w:rsidRDefault="007354AB" w:rsidP="007354AB">
      <w:pPr>
        <w:pStyle w:val="Sansinterligne"/>
        <w:jc w:val="both"/>
        <w:rPr>
          <w:lang w:val="fr-BE"/>
        </w:rPr>
      </w:pPr>
    </w:p>
    <w:p w14:paraId="7E664889" w14:textId="703DF786" w:rsidR="00855C84" w:rsidRDefault="00EC7802" w:rsidP="00855C84">
      <w:pPr>
        <w:pStyle w:val="Sansinterligne"/>
        <w:jc w:val="both"/>
        <w:rPr>
          <w:lang w:val="fr-BE"/>
        </w:rPr>
      </w:pPr>
      <w:r>
        <w:rPr>
          <w:lang w:val="fr-BE"/>
        </w:rPr>
        <w:t>Au vu de la volonté</w:t>
      </w:r>
      <w:r w:rsidR="007354AB">
        <w:rPr>
          <w:lang w:val="fr-BE"/>
        </w:rPr>
        <w:t xml:space="preserve"> de digitaliser </w:t>
      </w:r>
      <w:r>
        <w:rPr>
          <w:lang w:val="fr-BE"/>
        </w:rPr>
        <w:t xml:space="preserve">– voir de centraliser, </w:t>
      </w:r>
      <w:r w:rsidR="007354AB">
        <w:rPr>
          <w:lang w:val="fr-BE"/>
        </w:rPr>
        <w:t>les déclarations, il parait</w:t>
      </w:r>
      <w:r>
        <w:rPr>
          <w:lang w:val="fr-BE"/>
        </w:rPr>
        <w:t xml:space="preserve"> </w:t>
      </w:r>
      <w:r w:rsidR="007354AB">
        <w:rPr>
          <w:lang w:val="fr-BE"/>
        </w:rPr>
        <w:t>nécessaire d’éclair</w:t>
      </w:r>
      <w:r>
        <w:rPr>
          <w:lang w:val="fr-BE"/>
        </w:rPr>
        <w:t>cir</w:t>
      </w:r>
      <w:r w:rsidR="007354AB">
        <w:rPr>
          <w:lang w:val="fr-BE"/>
        </w:rPr>
        <w:t xml:space="preserve"> </w:t>
      </w:r>
      <w:r>
        <w:rPr>
          <w:lang w:val="fr-BE"/>
        </w:rPr>
        <w:t>certains éléments</w:t>
      </w:r>
      <w:r w:rsidR="007354AB">
        <w:rPr>
          <w:lang w:val="fr-BE"/>
        </w:rPr>
        <w:t xml:space="preserve"> : </w:t>
      </w:r>
    </w:p>
    <w:p w14:paraId="51A44D6A" w14:textId="77777777" w:rsidR="00C054CF" w:rsidRDefault="00C054CF" w:rsidP="00855C84">
      <w:pPr>
        <w:pStyle w:val="Sansinterligne"/>
        <w:jc w:val="both"/>
        <w:rPr>
          <w:lang w:val="fr-BE"/>
        </w:rPr>
      </w:pPr>
    </w:p>
    <w:p w14:paraId="4346E269" w14:textId="46EF4D98" w:rsidR="005B6CF5" w:rsidRDefault="005B6CF5" w:rsidP="007354AB">
      <w:pPr>
        <w:pStyle w:val="Sansinterligne"/>
        <w:numPr>
          <w:ilvl w:val="0"/>
          <w:numId w:val="11"/>
        </w:numPr>
        <w:jc w:val="both"/>
        <w:rPr>
          <w:lang w:val="fr-BE"/>
        </w:rPr>
      </w:pPr>
      <w:r>
        <w:rPr>
          <w:lang w:val="fr-BE"/>
        </w:rPr>
        <w:lastRenderedPageBreak/>
        <w:t>Chaque traitement de donnée doit être encadré par une loi</w:t>
      </w:r>
      <w:r>
        <w:rPr>
          <w:rStyle w:val="Appelnotedebasdep"/>
          <w:lang w:val="fr-BE"/>
        </w:rPr>
        <w:footnoteReference w:id="2"/>
      </w:r>
      <w:r>
        <w:rPr>
          <w:lang w:val="fr-BE"/>
        </w:rPr>
        <w:t xml:space="preserve"> </w:t>
      </w:r>
      <w:r w:rsidR="00290613">
        <w:rPr>
          <w:lang w:val="fr-BE"/>
        </w:rPr>
        <w:t>qui fixe certaines</w:t>
      </w:r>
      <w:r>
        <w:rPr>
          <w:lang w:val="fr-BE"/>
        </w:rPr>
        <w:t xml:space="preserve"> données essentielles (responsable de traitement, finalité, catégorie</w:t>
      </w:r>
      <w:r w:rsidR="00290613">
        <w:rPr>
          <w:lang w:val="fr-BE"/>
        </w:rPr>
        <w:t>s</w:t>
      </w:r>
      <w:r>
        <w:rPr>
          <w:lang w:val="fr-BE"/>
        </w:rPr>
        <w:t xml:space="preserve"> de données, personnes ayant accès et durée de conservation).</w:t>
      </w:r>
    </w:p>
    <w:p w14:paraId="29924E8A" w14:textId="6C75D204" w:rsidR="00855C84" w:rsidRDefault="00855C84" w:rsidP="007354AB">
      <w:pPr>
        <w:pStyle w:val="Sansinterligne"/>
        <w:numPr>
          <w:ilvl w:val="0"/>
          <w:numId w:val="11"/>
        </w:numPr>
        <w:jc w:val="both"/>
        <w:rPr>
          <w:lang w:val="fr-BE"/>
        </w:rPr>
      </w:pPr>
      <w:r>
        <w:rPr>
          <w:lang w:val="fr-BE"/>
        </w:rPr>
        <w:t xml:space="preserve">Nous ne pouvons pas prévoir de cadre légal pour digitaliser des </w:t>
      </w:r>
      <w:r w:rsidR="00FB7CBD">
        <w:rPr>
          <w:lang w:val="fr-BE"/>
        </w:rPr>
        <w:t xml:space="preserve">déclarations </w:t>
      </w:r>
      <w:r>
        <w:rPr>
          <w:lang w:val="fr-BE"/>
        </w:rPr>
        <w:t>qui ne relèvent pas de nos compétences</w:t>
      </w:r>
      <w:r w:rsidR="00F209E4">
        <w:rPr>
          <w:lang w:val="fr-BE"/>
        </w:rPr>
        <w:t>.</w:t>
      </w:r>
    </w:p>
    <w:p w14:paraId="64549023" w14:textId="44AC7A6B" w:rsidR="007354AB" w:rsidRDefault="00855C84" w:rsidP="007354AB">
      <w:pPr>
        <w:pStyle w:val="Sansinterligne"/>
        <w:numPr>
          <w:ilvl w:val="0"/>
          <w:numId w:val="11"/>
        </w:numPr>
        <w:jc w:val="both"/>
        <w:rPr>
          <w:lang w:val="fr-BE"/>
        </w:rPr>
      </w:pPr>
      <w:r>
        <w:rPr>
          <w:lang w:val="fr-BE"/>
        </w:rPr>
        <w:t>Si on veut développer</w:t>
      </w:r>
      <w:r w:rsidR="007354AB">
        <w:rPr>
          <w:lang w:val="fr-BE"/>
        </w:rPr>
        <w:t xml:space="preserve"> un </w:t>
      </w:r>
      <w:proofErr w:type="spellStart"/>
      <w:r w:rsidR="007354AB">
        <w:rPr>
          <w:lang w:val="fr-BE"/>
        </w:rPr>
        <w:t>auto-enregistrement</w:t>
      </w:r>
      <w:proofErr w:type="spellEnd"/>
      <w:r w:rsidR="007354AB">
        <w:rPr>
          <w:lang w:val="fr-BE"/>
        </w:rPr>
        <w:t xml:space="preserve"> pour</w:t>
      </w:r>
      <w:r w:rsidR="00BD0AAB">
        <w:rPr>
          <w:lang w:val="fr-BE"/>
        </w:rPr>
        <w:t xml:space="preserve"> les déclarations euthanasie, </w:t>
      </w:r>
      <w:r>
        <w:rPr>
          <w:lang w:val="fr-BE"/>
        </w:rPr>
        <w:t>c</w:t>
      </w:r>
      <w:r w:rsidR="007354AB">
        <w:rPr>
          <w:lang w:val="fr-BE"/>
        </w:rPr>
        <w:t xml:space="preserve">ela implique des modifications légales </w:t>
      </w:r>
      <w:r w:rsidR="00BD0AAB">
        <w:rPr>
          <w:lang w:val="fr-BE"/>
        </w:rPr>
        <w:t xml:space="preserve">et </w:t>
      </w:r>
      <w:r w:rsidR="007354AB">
        <w:rPr>
          <w:lang w:val="fr-BE"/>
        </w:rPr>
        <w:t>des implications financières</w:t>
      </w:r>
      <w:r>
        <w:rPr>
          <w:lang w:val="fr-BE"/>
        </w:rPr>
        <w:t xml:space="preserve">. </w:t>
      </w:r>
      <w:r w:rsidR="00290613">
        <w:rPr>
          <w:lang w:val="fr-BE"/>
        </w:rPr>
        <w:t xml:space="preserve">A cet égard, </w:t>
      </w:r>
      <w:r w:rsidR="003A4373">
        <w:rPr>
          <w:lang w:val="fr-BE"/>
        </w:rPr>
        <w:t xml:space="preserve">au vu des précédents avis de </w:t>
      </w:r>
      <w:r w:rsidR="00290613">
        <w:rPr>
          <w:lang w:val="fr-BE"/>
        </w:rPr>
        <w:t>l’Autorité de protection des données</w:t>
      </w:r>
      <w:r w:rsidR="003A4373">
        <w:rPr>
          <w:lang w:val="fr-BE"/>
        </w:rPr>
        <w:t xml:space="preserve">, </w:t>
      </w:r>
      <w:r w:rsidR="00290613">
        <w:rPr>
          <w:lang w:val="fr-BE"/>
        </w:rPr>
        <w:t xml:space="preserve">il </w:t>
      </w:r>
      <w:r w:rsidR="003A4373">
        <w:rPr>
          <w:lang w:val="fr-BE"/>
        </w:rPr>
        <w:t>pourrait être nécessaire</w:t>
      </w:r>
      <w:r w:rsidR="00290613">
        <w:rPr>
          <w:lang w:val="fr-BE"/>
        </w:rPr>
        <w:t xml:space="preserve"> d’inscrire le cadre du traitement</w:t>
      </w:r>
      <w:r w:rsidR="009D5198">
        <w:rPr>
          <w:lang w:val="fr-BE"/>
        </w:rPr>
        <w:t xml:space="preserve"> de données</w:t>
      </w:r>
      <w:r w:rsidR="00290613">
        <w:rPr>
          <w:lang w:val="fr-BE"/>
        </w:rPr>
        <w:t xml:space="preserve"> dans la loi même et non plus dans l’arrêté royal de 2007. </w:t>
      </w:r>
    </w:p>
    <w:p w14:paraId="3F29391D" w14:textId="1491B4B3" w:rsidR="006918CB" w:rsidRDefault="00BD0AAB" w:rsidP="006918CB">
      <w:pPr>
        <w:pStyle w:val="Sansinterligne"/>
        <w:numPr>
          <w:ilvl w:val="0"/>
          <w:numId w:val="11"/>
        </w:numPr>
        <w:jc w:val="both"/>
        <w:rPr>
          <w:lang w:val="fr-BE"/>
        </w:rPr>
      </w:pPr>
      <w:r>
        <w:rPr>
          <w:lang w:val="fr-BE"/>
        </w:rPr>
        <w:t>Si on veut développer un modèle de déclaration anticipée ‘droits du patient’</w:t>
      </w:r>
      <w:r w:rsidR="00E81DCC">
        <w:rPr>
          <w:lang w:val="fr-BE"/>
        </w:rPr>
        <w:t xml:space="preserve"> et un enregistrement de celle-ci</w:t>
      </w:r>
      <w:r>
        <w:rPr>
          <w:lang w:val="fr-BE"/>
        </w:rPr>
        <w:t xml:space="preserve">, cela implique de créer </w:t>
      </w:r>
      <w:r w:rsidR="009D5198">
        <w:rPr>
          <w:lang w:val="fr-BE"/>
        </w:rPr>
        <w:t xml:space="preserve">un </w:t>
      </w:r>
      <w:r>
        <w:rPr>
          <w:lang w:val="fr-BE"/>
        </w:rPr>
        <w:t>cadre légal</w:t>
      </w:r>
      <w:r w:rsidR="00E81DCC">
        <w:rPr>
          <w:lang w:val="fr-BE"/>
        </w:rPr>
        <w:t xml:space="preserve"> </w:t>
      </w:r>
      <w:r w:rsidR="009D5198">
        <w:rPr>
          <w:lang w:val="fr-BE"/>
        </w:rPr>
        <w:t xml:space="preserve">via des </w:t>
      </w:r>
      <w:r w:rsidR="00E81DCC">
        <w:rPr>
          <w:lang w:val="fr-BE"/>
        </w:rPr>
        <w:t>arrêtés royaux</w:t>
      </w:r>
      <w:r>
        <w:rPr>
          <w:lang w:val="fr-BE"/>
        </w:rPr>
        <w:t xml:space="preserve">. Si ces déclarations sont digitalisées, seraient-elles insérées dans le dossier de patient </w:t>
      </w:r>
      <w:r w:rsidR="003A4373">
        <w:rPr>
          <w:lang w:val="fr-BE"/>
        </w:rPr>
        <w:t xml:space="preserve">(auto enregistrement et/ou via le médecin ?) </w:t>
      </w:r>
      <w:r>
        <w:rPr>
          <w:lang w:val="fr-BE"/>
        </w:rPr>
        <w:t>ou seraient-elles enregistrées dans une nouvelle base de donnée </w:t>
      </w:r>
      <w:r w:rsidR="003A4373">
        <w:rPr>
          <w:lang w:val="fr-BE"/>
        </w:rPr>
        <w:t xml:space="preserve">(quelles modalités d’enregistrement ? accès ?) </w:t>
      </w:r>
      <w:r>
        <w:rPr>
          <w:lang w:val="fr-BE"/>
        </w:rPr>
        <w:t xml:space="preserve">? </w:t>
      </w:r>
    </w:p>
    <w:p w14:paraId="77D049F3" w14:textId="381EAECE" w:rsidR="006918CB" w:rsidRPr="006918CB" w:rsidRDefault="006918CB" w:rsidP="006918CB">
      <w:pPr>
        <w:pStyle w:val="Sansinterligne"/>
        <w:numPr>
          <w:ilvl w:val="0"/>
          <w:numId w:val="11"/>
        </w:numPr>
        <w:jc w:val="both"/>
        <w:rPr>
          <w:lang w:val="fr-BE"/>
        </w:rPr>
      </w:pPr>
      <w:r>
        <w:rPr>
          <w:lang w:val="fr-BE"/>
        </w:rPr>
        <w:t>Quel lien entre l’</w:t>
      </w:r>
      <w:proofErr w:type="spellStart"/>
      <w:r>
        <w:rPr>
          <w:lang w:val="fr-BE"/>
        </w:rPr>
        <w:t>advance</w:t>
      </w:r>
      <w:proofErr w:type="spellEnd"/>
      <w:r>
        <w:rPr>
          <w:lang w:val="fr-BE"/>
        </w:rPr>
        <w:t xml:space="preserve"> care planning et la planification </w:t>
      </w:r>
      <w:r w:rsidR="00E81DCC">
        <w:rPr>
          <w:lang w:val="fr-BE"/>
        </w:rPr>
        <w:t xml:space="preserve">anticipée </w:t>
      </w:r>
      <w:r>
        <w:rPr>
          <w:lang w:val="fr-BE"/>
        </w:rPr>
        <w:t>de soins prévue dans la loi droits du patient ?</w:t>
      </w:r>
      <w:r w:rsidR="00E02CC8">
        <w:rPr>
          <w:lang w:val="fr-BE"/>
        </w:rPr>
        <w:t xml:space="preserve"> La loi droits du patient envisage la planification de soins pour tout patient, pas seulement pour un patient palliatif</w:t>
      </w:r>
      <w:r w:rsidR="00166BE7">
        <w:rPr>
          <w:lang w:val="fr-BE"/>
        </w:rPr>
        <w:t>,</w:t>
      </w:r>
      <w:r w:rsidR="00E81DCC">
        <w:rPr>
          <w:lang w:val="fr-BE"/>
        </w:rPr>
        <w:t xml:space="preserve"> mais elle ne prévoit aucune précision d’application (pas de forfait INAMI, pas de précision sur la manière de la concrétiser, pas de précision sur les compétences du professionnel qui l’enclenche,…</w:t>
      </w:r>
      <w:r w:rsidR="009D5198">
        <w:rPr>
          <w:lang w:val="fr-BE"/>
        </w:rPr>
        <w:t xml:space="preserve">). </w:t>
      </w:r>
    </w:p>
    <w:p w14:paraId="23FCF889" w14:textId="084E9F30" w:rsidR="00BD0AAB" w:rsidRDefault="00E02CC8" w:rsidP="00BD0AAB">
      <w:pPr>
        <w:pStyle w:val="Sansinterligne"/>
        <w:numPr>
          <w:ilvl w:val="0"/>
          <w:numId w:val="11"/>
        </w:numPr>
        <w:jc w:val="both"/>
        <w:rPr>
          <w:lang w:val="fr-BE"/>
        </w:rPr>
      </w:pPr>
      <w:r>
        <w:rPr>
          <w:lang w:val="fr-BE"/>
        </w:rPr>
        <w:t>Comment fonctionne</w:t>
      </w:r>
      <w:r w:rsidR="00DB2386">
        <w:rPr>
          <w:lang w:val="fr-BE"/>
        </w:rPr>
        <w:t xml:space="preserve"> l’</w:t>
      </w:r>
      <w:proofErr w:type="spellStart"/>
      <w:r w:rsidR="00DB2386">
        <w:rPr>
          <w:lang w:val="fr-BE"/>
        </w:rPr>
        <w:t>advance</w:t>
      </w:r>
      <w:proofErr w:type="spellEnd"/>
      <w:r w:rsidR="00DB2386">
        <w:rPr>
          <w:lang w:val="fr-BE"/>
        </w:rPr>
        <w:t xml:space="preserve"> care planning pour un patient palliatif</w:t>
      </w:r>
      <w:r>
        <w:rPr>
          <w:lang w:val="fr-BE"/>
        </w:rPr>
        <w:t xml:space="preserve"> ? qu’enregistre exactement le patient (copie </w:t>
      </w:r>
      <w:r w:rsidR="003A4373">
        <w:rPr>
          <w:lang w:val="fr-BE"/>
        </w:rPr>
        <w:t>de</w:t>
      </w:r>
      <w:r w:rsidR="00DB2386">
        <w:rPr>
          <w:lang w:val="fr-BE"/>
        </w:rPr>
        <w:t>s</w:t>
      </w:r>
      <w:r w:rsidR="003A4373">
        <w:rPr>
          <w:lang w:val="fr-BE"/>
        </w:rPr>
        <w:t xml:space="preserve"> déclarations existantes </w:t>
      </w:r>
      <w:r>
        <w:rPr>
          <w:lang w:val="fr-BE"/>
        </w:rPr>
        <w:t>ou mention de l’existence d’une déclaration) ?</w:t>
      </w:r>
      <w:r w:rsidR="00AB30E8">
        <w:rPr>
          <w:lang w:val="fr-BE"/>
        </w:rPr>
        <w:t xml:space="preserve"> à quelles données le professionnel de soins a-t-il accès ? </w:t>
      </w:r>
    </w:p>
    <w:p w14:paraId="4637067E" w14:textId="042902D0" w:rsidR="009D5198" w:rsidRDefault="009D5198" w:rsidP="00BD0AAB">
      <w:pPr>
        <w:pStyle w:val="Sansinterligne"/>
        <w:numPr>
          <w:ilvl w:val="0"/>
          <w:numId w:val="11"/>
        </w:numPr>
        <w:jc w:val="both"/>
        <w:rPr>
          <w:lang w:val="fr-BE"/>
        </w:rPr>
      </w:pPr>
      <w:r>
        <w:rPr>
          <w:lang w:val="fr-BE"/>
        </w:rPr>
        <w:t xml:space="preserve">Quelle structure a été avalisée au sein de l’INAMI </w:t>
      </w:r>
      <w:r w:rsidR="00F65F54">
        <w:rPr>
          <w:lang w:val="fr-BE"/>
        </w:rPr>
        <w:t xml:space="preserve">dans le cadre du projet care set </w:t>
      </w:r>
      <w:proofErr w:type="spellStart"/>
      <w:r w:rsidR="00F65F54">
        <w:rPr>
          <w:lang w:val="fr-BE"/>
        </w:rPr>
        <w:t>will</w:t>
      </w:r>
      <w:proofErr w:type="spellEnd"/>
      <w:r w:rsidR="00F65F54">
        <w:rPr>
          <w:lang w:val="fr-BE"/>
        </w:rPr>
        <w:t> ?</w:t>
      </w:r>
      <w:r w:rsidR="005022FE">
        <w:rPr>
          <w:lang w:val="fr-BE"/>
        </w:rPr>
        <w:t xml:space="preserve"> (cf. réunion du 15 septembre 2025)</w:t>
      </w:r>
      <w:r w:rsidR="00F65F54">
        <w:rPr>
          <w:lang w:val="fr-BE"/>
        </w:rPr>
        <w:t xml:space="preserve"> </w:t>
      </w:r>
      <w:r w:rsidR="005022FE">
        <w:rPr>
          <w:lang w:val="fr-BE"/>
        </w:rPr>
        <w:t>S</w:t>
      </w:r>
      <w:r w:rsidR="00F65F54">
        <w:rPr>
          <w:lang w:val="fr-BE"/>
        </w:rPr>
        <w:t xml:space="preserve">’agit-il de l’ACP ou d’un autre modèle ? </w:t>
      </w:r>
    </w:p>
    <w:p w14:paraId="0767B52E" w14:textId="77777777" w:rsidR="00AB30E8" w:rsidRPr="00EC7802" w:rsidRDefault="00AB30E8" w:rsidP="00AB30E8">
      <w:pPr>
        <w:pStyle w:val="Sansinterligne"/>
        <w:ind w:left="720"/>
        <w:jc w:val="both"/>
        <w:rPr>
          <w:lang w:val="fr-BE"/>
        </w:rPr>
      </w:pPr>
    </w:p>
    <w:p w14:paraId="79F1546A" w14:textId="15BC55DD" w:rsidR="009B400D" w:rsidRDefault="007354AB" w:rsidP="002F6285">
      <w:pPr>
        <w:pStyle w:val="Sansinterligne"/>
        <w:jc w:val="both"/>
        <w:rPr>
          <w:lang w:val="fr-BE"/>
        </w:rPr>
      </w:pPr>
      <w:r>
        <w:rPr>
          <w:lang w:val="fr-BE"/>
        </w:rPr>
        <w:t>I</w:t>
      </w:r>
      <w:r w:rsidR="003A4373">
        <w:rPr>
          <w:lang w:val="fr-BE"/>
        </w:rPr>
        <w:t>n fine, il</w:t>
      </w:r>
      <w:r>
        <w:rPr>
          <w:lang w:val="fr-BE"/>
        </w:rPr>
        <w:t xml:space="preserve"> ne parait</w:t>
      </w:r>
      <w:r w:rsidR="00AB30E8">
        <w:rPr>
          <w:lang w:val="fr-BE"/>
        </w:rPr>
        <w:t xml:space="preserve"> </w:t>
      </w:r>
      <w:r w:rsidRPr="009D5198">
        <w:rPr>
          <w:b/>
          <w:bCs/>
          <w:lang w:val="fr-BE"/>
        </w:rPr>
        <w:t>pas réaliste</w:t>
      </w:r>
      <w:r w:rsidR="00AB30E8" w:rsidRPr="009D5198">
        <w:rPr>
          <w:b/>
          <w:bCs/>
          <w:lang w:val="fr-BE"/>
        </w:rPr>
        <w:t>,</w:t>
      </w:r>
      <w:r w:rsidRPr="009D5198">
        <w:rPr>
          <w:b/>
          <w:bCs/>
          <w:lang w:val="fr-BE"/>
        </w:rPr>
        <w:t xml:space="preserve"> </w:t>
      </w:r>
      <w:r w:rsidRPr="009D5198">
        <w:rPr>
          <w:lang w:val="fr-BE"/>
        </w:rPr>
        <w:t>ni souhaitable</w:t>
      </w:r>
      <w:r w:rsidR="00AB30E8" w:rsidRPr="009D5198">
        <w:rPr>
          <w:lang w:val="fr-BE"/>
        </w:rPr>
        <w:t>,</w:t>
      </w:r>
      <w:r w:rsidRPr="009D5198">
        <w:rPr>
          <w:lang w:val="fr-BE"/>
        </w:rPr>
        <w:t xml:space="preserve"> d</w:t>
      </w:r>
      <w:r w:rsidR="00537A00" w:rsidRPr="009D5198">
        <w:rPr>
          <w:lang w:val="fr-BE"/>
        </w:rPr>
        <w:t>’organiser une fusion de</w:t>
      </w:r>
      <w:r w:rsidR="00537A00">
        <w:rPr>
          <w:lang w:val="fr-BE"/>
        </w:rPr>
        <w:t xml:space="preserve"> </w:t>
      </w:r>
      <w:r w:rsidR="00855C84">
        <w:rPr>
          <w:lang w:val="fr-BE"/>
        </w:rPr>
        <w:t>toutes les déclarations</w:t>
      </w:r>
      <w:r w:rsidR="00EC7802">
        <w:rPr>
          <w:lang w:val="fr-BE"/>
        </w:rPr>
        <w:t xml:space="preserve"> </w:t>
      </w:r>
      <w:r>
        <w:rPr>
          <w:lang w:val="fr-BE"/>
        </w:rPr>
        <w:t xml:space="preserve">dans </w:t>
      </w:r>
      <w:r w:rsidRPr="009D5198">
        <w:rPr>
          <w:b/>
          <w:bCs/>
          <w:lang w:val="fr-BE"/>
        </w:rPr>
        <w:t xml:space="preserve">une même structure </w:t>
      </w:r>
      <w:r>
        <w:rPr>
          <w:lang w:val="fr-BE"/>
        </w:rPr>
        <w:t>au vu de la diversité des finalités et des accès</w:t>
      </w:r>
      <w:r w:rsidR="005B6CF5">
        <w:rPr>
          <w:lang w:val="fr-BE"/>
        </w:rPr>
        <w:t xml:space="preserve"> </w:t>
      </w:r>
      <w:r w:rsidR="00DB2386">
        <w:rPr>
          <w:lang w:val="fr-BE"/>
        </w:rPr>
        <w:t xml:space="preserve">spécifiques </w:t>
      </w:r>
      <w:r w:rsidR="005B6CF5">
        <w:rPr>
          <w:lang w:val="fr-BE"/>
        </w:rPr>
        <w:t>prévus par les législations actuelles</w:t>
      </w:r>
      <w:r>
        <w:rPr>
          <w:lang w:val="fr-BE"/>
        </w:rPr>
        <w:t xml:space="preserve">. </w:t>
      </w:r>
    </w:p>
    <w:p w14:paraId="3D867EF3" w14:textId="091E99DD" w:rsidR="007354AB" w:rsidRDefault="00537A00" w:rsidP="002F6285">
      <w:pPr>
        <w:pStyle w:val="Sansinterligne"/>
        <w:jc w:val="both"/>
        <w:rPr>
          <w:lang w:val="fr-BE"/>
        </w:rPr>
      </w:pPr>
      <w:r>
        <w:rPr>
          <w:lang w:val="fr-BE"/>
        </w:rPr>
        <w:t xml:space="preserve">Le patient reste libre de demander ou non l’insertion de documents </w:t>
      </w:r>
      <w:r w:rsidR="009B400D">
        <w:rPr>
          <w:lang w:val="fr-BE"/>
        </w:rPr>
        <w:t xml:space="preserve">telles que des </w:t>
      </w:r>
      <w:r>
        <w:rPr>
          <w:lang w:val="fr-BE"/>
        </w:rPr>
        <w:t xml:space="preserve">déclarations </w:t>
      </w:r>
      <w:proofErr w:type="spellStart"/>
      <w:r>
        <w:rPr>
          <w:lang w:val="fr-BE"/>
        </w:rPr>
        <w:t>ancticipées</w:t>
      </w:r>
      <w:proofErr w:type="spellEnd"/>
      <w:r>
        <w:rPr>
          <w:lang w:val="fr-BE"/>
        </w:rPr>
        <w:t xml:space="preserve"> dans le dossier patient (art</w:t>
      </w:r>
      <w:r w:rsidR="009D5198">
        <w:rPr>
          <w:lang w:val="fr-BE"/>
        </w:rPr>
        <w:t xml:space="preserve">. </w:t>
      </w:r>
      <w:r>
        <w:rPr>
          <w:lang w:val="fr-BE"/>
        </w:rPr>
        <w:t>9</w:t>
      </w:r>
      <w:r w:rsidR="009D5198">
        <w:rPr>
          <w:lang w:val="fr-BE"/>
        </w:rPr>
        <w:t xml:space="preserve"> de la</w:t>
      </w:r>
      <w:r>
        <w:rPr>
          <w:lang w:val="fr-BE"/>
        </w:rPr>
        <w:t xml:space="preserve"> loi droits du patient</w:t>
      </w:r>
      <w:r w:rsidR="009D5198">
        <w:rPr>
          <w:lang w:val="fr-BE"/>
        </w:rPr>
        <w:t>, a</w:t>
      </w:r>
      <w:r>
        <w:rPr>
          <w:lang w:val="fr-BE"/>
        </w:rPr>
        <w:t>rt</w:t>
      </w:r>
      <w:r w:rsidR="009D5198">
        <w:rPr>
          <w:lang w:val="fr-BE"/>
        </w:rPr>
        <w:t>.</w:t>
      </w:r>
      <w:r>
        <w:rPr>
          <w:lang w:val="fr-BE"/>
        </w:rPr>
        <w:t xml:space="preserve"> 33 </w:t>
      </w:r>
      <w:r w:rsidR="009D5198">
        <w:rPr>
          <w:lang w:val="fr-BE"/>
        </w:rPr>
        <w:t xml:space="preserve">de la </w:t>
      </w:r>
      <w:r>
        <w:rPr>
          <w:lang w:val="fr-BE"/>
        </w:rPr>
        <w:t>loi qualité)</w:t>
      </w:r>
      <w:r w:rsidR="009B400D">
        <w:rPr>
          <w:lang w:val="fr-BE"/>
        </w:rPr>
        <w:t>.</w:t>
      </w:r>
    </w:p>
    <w:p w14:paraId="0128B922" w14:textId="1E56FF2F" w:rsidR="009A71CA" w:rsidRDefault="009A71CA" w:rsidP="002F6285">
      <w:pPr>
        <w:pStyle w:val="Sansinterligne"/>
        <w:jc w:val="both"/>
        <w:rPr>
          <w:lang w:val="fr-BE"/>
        </w:rPr>
      </w:pPr>
      <w:r>
        <w:rPr>
          <w:lang w:val="fr-BE"/>
        </w:rPr>
        <w:t xml:space="preserve">Des démarches de </w:t>
      </w:r>
      <w:proofErr w:type="spellStart"/>
      <w:r>
        <w:rPr>
          <w:lang w:val="fr-BE"/>
        </w:rPr>
        <w:t>digitialisation</w:t>
      </w:r>
      <w:proofErr w:type="spellEnd"/>
      <w:r>
        <w:rPr>
          <w:lang w:val="fr-BE"/>
        </w:rPr>
        <w:t xml:space="preserve"> peuvent</w:t>
      </w:r>
      <w:r w:rsidR="00AB30E8">
        <w:rPr>
          <w:lang w:val="fr-BE"/>
        </w:rPr>
        <w:t xml:space="preserve"> cependant</w:t>
      </w:r>
      <w:r>
        <w:rPr>
          <w:lang w:val="fr-BE"/>
        </w:rPr>
        <w:t xml:space="preserve"> être entrepri</w:t>
      </w:r>
      <w:r w:rsidR="00AB30E8">
        <w:rPr>
          <w:lang w:val="fr-BE"/>
        </w:rPr>
        <w:t>ses</w:t>
      </w:r>
      <w:r>
        <w:rPr>
          <w:lang w:val="fr-BE"/>
        </w:rPr>
        <w:t xml:space="preserve"> au cas par cas en tenant compte des </w:t>
      </w:r>
      <w:r w:rsidR="00AB30E8">
        <w:rPr>
          <w:lang w:val="fr-BE"/>
        </w:rPr>
        <w:t>éléments susmentionnés</w:t>
      </w:r>
      <w:r w:rsidR="00E81DCC">
        <w:rPr>
          <w:lang w:val="fr-BE"/>
        </w:rPr>
        <w:t xml:space="preserve"> (ex</w:t>
      </w:r>
      <w:r w:rsidR="009D5198">
        <w:rPr>
          <w:lang w:val="fr-BE"/>
        </w:rPr>
        <w:t>.</w:t>
      </w:r>
      <w:r w:rsidR="00E81DCC">
        <w:rPr>
          <w:lang w:val="fr-BE"/>
        </w:rPr>
        <w:t xml:space="preserve"> pour les déclarations anticipées de soins </w:t>
      </w:r>
      <w:r w:rsidR="009D5198">
        <w:rPr>
          <w:lang w:val="fr-BE"/>
        </w:rPr>
        <w:t xml:space="preserve">de la </w:t>
      </w:r>
      <w:r w:rsidR="00166BE7">
        <w:rPr>
          <w:lang w:val="fr-BE"/>
        </w:rPr>
        <w:t xml:space="preserve">loi </w:t>
      </w:r>
      <w:r w:rsidR="00E81DCC" w:rsidRPr="009D5198">
        <w:rPr>
          <w:b/>
          <w:bCs/>
          <w:lang w:val="fr-BE"/>
        </w:rPr>
        <w:t>droits du patient</w:t>
      </w:r>
      <w:r w:rsidR="00E81DCC">
        <w:rPr>
          <w:lang w:val="fr-BE"/>
        </w:rPr>
        <w:t xml:space="preserve"> ou pour la désignation d’un représentant </w:t>
      </w:r>
      <w:r w:rsidR="009B400D">
        <w:rPr>
          <w:lang w:val="fr-BE"/>
        </w:rPr>
        <w:t xml:space="preserve">de la loi droits du patient </w:t>
      </w:r>
      <w:r w:rsidR="00E81DCC">
        <w:rPr>
          <w:lang w:val="fr-BE"/>
        </w:rPr>
        <w:t>de son choix</w:t>
      </w:r>
      <w:r w:rsidR="009D5198">
        <w:rPr>
          <w:lang w:val="fr-BE"/>
        </w:rPr>
        <w:t xml:space="preserve">, </w:t>
      </w:r>
      <w:r w:rsidR="00E81DCC">
        <w:rPr>
          <w:lang w:val="fr-BE"/>
        </w:rPr>
        <w:t xml:space="preserve">moyennant </w:t>
      </w:r>
      <w:r w:rsidR="00166BE7">
        <w:rPr>
          <w:lang w:val="fr-BE"/>
        </w:rPr>
        <w:t xml:space="preserve">l’élaboration </w:t>
      </w:r>
      <w:r w:rsidR="00166BE7" w:rsidRPr="009D5198">
        <w:rPr>
          <w:b/>
          <w:bCs/>
          <w:lang w:val="fr-BE"/>
        </w:rPr>
        <w:t>d’</w:t>
      </w:r>
      <w:r w:rsidR="00E81DCC" w:rsidRPr="009D5198">
        <w:rPr>
          <w:b/>
          <w:bCs/>
          <w:lang w:val="fr-BE"/>
        </w:rPr>
        <w:t>arrêtés royaux</w:t>
      </w:r>
      <w:r w:rsidR="00E81DCC">
        <w:rPr>
          <w:lang w:val="fr-BE"/>
        </w:rPr>
        <w:t xml:space="preserve"> et </w:t>
      </w:r>
      <w:r w:rsidR="009D5198">
        <w:rPr>
          <w:lang w:val="fr-BE"/>
        </w:rPr>
        <w:t xml:space="preserve">d’un </w:t>
      </w:r>
      <w:r w:rsidR="00E81DCC">
        <w:rPr>
          <w:lang w:val="fr-BE"/>
        </w:rPr>
        <w:t>budget</w:t>
      </w:r>
      <w:r w:rsidR="009D5198">
        <w:rPr>
          <w:lang w:val="fr-BE"/>
        </w:rPr>
        <w:t xml:space="preserve"> nécessaire</w:t>
      </w:r>
      <w:r w:rsidR="00E81DCC">
        <w:rPr>
          <w:lang w:val="fr-BE"/>
        </w:rPr>
        <w:t xml:space="preserve">). </w:t>
      </w:r>
    </w:p>
    <w:p w14:paraId="2431A0BB" w14:textId="24D91C48" w:rsidR="004668A1" w:rsidRDefault="009D5198" w:rsidP="00AB30E8">
      <w:pPr>
        <w:pStyle w:val="Sansinterligne"/>
        <w:jc w:val="both"/>
        <w:rPr>
          <w:lang w:val="fr-BE"/>
        </w:rPr>
      </w:pPr>
      <w:r>
        <w:rPr>
          <w:lang w:val="fr-BE"/>
        </w:rPr>
        <w:t>Du reste, on ne peut qu’</w:t>
      </w:r>
      <w:r w:rsidR="00166BE7">
        <w:rPr>
          <w:lang w:val="fr-BE"/>
        </w:rPr>
        <w:t>exhorter</w:t>
      </w:r>
      <w:r w:rsidR="00AB30E8">
        <w:rPr>
          <w:lang w:val="fr-BE"/>
        </w:rPr>
        <w:t xml:space="preserve"> le législateur </w:t>
      </w:r>
      <w:r w:rsidR="004668A1">
        <w:rPr>
          <w:lang w:val="fr-BE"/>
        </w:rPr>
        <w:t xml:space="preserve">à rester </w:t>
      </w:r>
      <w:r w:rsidR="00AB30E8">
        <w:rPr>
          <w:lang w:val="fr-BE"/>
        </w:rPr>
        <w:t xml:space="preserve">cohérent au vu de ce qui a </w:t>
      </w:r>
      <w:r w:rsidR="004668A1">
        <w:rPr>
          <w:lang w:val="fr-BE"/>
        </w:rPr>
        <w:t xml:space="preserve">déjà </w:t>
      </w:r>
      <w:r w:rsidR="00AB30E8">
        <w:rPr>
          <w:lang w:val="fr-BE"/>
        </w:rPr>
        <w:t>été mis en place</w:t>
      </w:r>
      <w:r w:rsidR="004668A1">
        <w:rPr>
          <w:lang w:val="fr-BE"/>
        </w:rPr>
        <w:t xml:space="preserve">, à ne </w:t>
      </w:r>
      <w:r w:rsidR="004668A1" w:rsidRPr="009D5198">
        <w:rPr>
          <w:b/>
          <w:bCs/>
          <w:lang w:val="fr-BE"/>
        </w:rPr>
        <w:t>pas multiplier en parallèle des bases de données</w:t>
      </w:r>
      <w:r>
        <w:rPr>
          <w:lang w:val="fr-BE"/>
        </w:rPr>
        <w:t xml:space="preserve">, ce </w:t>
      </w:r>
      <w:r w:rsidR="004668A1" w:rsidRPr="009D5198">
        <w:rPr>
          <w:lang w:val="fr-BE"/>
        </w:rPr>
        <w:t xml:space="preserve">qui </w:t>
      </w:r>
      <w:r w:rsidR="004668A1" w:rsidRPr="009D5198">
        <w:rPr>
          <w:b/>
          <w:bCs/>
          <w:lang w:val="fr-BE"/>
        </w:rPr>
        <w:t>dévaloriserait les sources authentiques</w:t>
      </w:r>
      <w:r w:rsidR="004668A1">
        <w:rPr>
          <w:lang w:val="fr-BE"/>
        </w:rPr>
        <w:t xml:space="preserve">, et à garantir un système transparent et efficace pour le patient comme pour le professionnel de soins. </w:t>
      </w:r>
    </w:p>
    <w:p w14:paraId="67E6D77A" w14:textId="77777777" w:rsidR="00AB30E8" w:rsidRDefault="00AB30E8" w:rsidP="002F6285">
      <w:pPr>
        <w:pStyle w:val="Sansinterligne"/>
        <w:jc w:val="both"/>
        <w:rPr>
          <w:lang w:val="fr-BE"/>
        </w:rPr>
      </w:pPr>
    </w:p>
    <w:p w14:paraId="02F31384" w14:textId="4131C54F" w:rsidR="00307251" w:rsidRPr="00FE119E" w:rsidRDefault="00307251" w:rsidP="002F6285">
      <w:pPr>
        <w:pStyle w:val="Sansinterligne"/>
        <w:jc w:val="both"/>
        <w:rPr>
          <w:lang w:val="fr-BE"/>
        </w:rPr>
      </w:pPr>
    </w:p>
    <w:sectPr w:rsidR="00307251" w:rsidRPr="00FE119E" w:rsidSect="004D632C">
      <w:headerReference w:type="default" r:id="rId14"/>
      <w:footerReference w:type="default" r:id="rId15"/>
      <w:pgSz w:w="11906" w:h="16838"/>
      <w:pgMar w:top="1985" w:right="1985" w:bottom="1077" w:left="1985"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8EEC" w14:textId="77777777" w:rsidR="006E3F7A" w:rsidRDefault="006E3F7A" w:rsidP="002B53AC">
      <w:pPr>
        <w:spacing w:after="0" w:line="240" w:lineRule="auto"/>
      </w:pPr>
      <w:r>
        <w:separator/>
      </w:r>
    </w:p>
  </w:endnote>
  <w:endnote w:type="continuationSeparator" w:id="0">
    <w:p w14:paraId="21EEFE29" w14:textId="77777777" w:rsidR="006E3F7A" w:rsidRDefault="006E3F7A" w:rsidP="002B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SemiBold">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6C2B" w14:textId="2D08C4A9" w:rsidR="002B53AC" w:rsidRPr="00FE55D5" w:rsidRDefault="00553695" w:rsidP="00553695">
    <w:pPr>
      <w:pStyle w:val="Pieddepage"/>
      <w:tabs>
        <w:tab w:val="left" w:pos="851"/>
      </w:tabs>
      <w:rPr>
        <w:rFonts w:ascii="Open Sans SemiBold" w:hAnsi="Open Sans SemiBold" w:cs="Open Sans SemiBold"/>
        <w:sz w:val="16"/>
        <w:szCs w:val="16"/>
      </w:rPr>
    </w:pPr>
    <w:r>
      <w:rPr>
        <w:rFonts w:ascii="Open Sans SemiBold" w:hAnsi="Open Sans SemiBold" w:cs="Open Sans SemiBold"/>
        <w:noProof/>
        <w:sz w:val="16"/>
        <w:szCs w:val="16"/>
      </w:rPr>
      <w:drawing>
        <wp:anchor distT="0" distB="0" distL="114300" distR="114300" simplePos="0" relativeHeight="251658752" behindDoc="0" locked="0" layoutInCell="1" allowOverlap="1" wp14:anchorId="25C68598" wp14:editId="4B74D16A">
          <wp:simplePos x="0" y="0"/>
          <wp:positionH relativeFrom="rightMargin">
            <wp:posOffset>608330</wp:posOffset>
          </wp:positionH>
          <wp:positionV relativeFrom="page">
            <wp:posOffset>10060305</wp:posOffset>
          </wp:positionV>
          <wp:extent cx="435600" cy="324000"/>
          <wp:effectExtent l="0" t="0" r="0" b="0"/>
          <wp:wrapNone/>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5600" cy="324000"/>
                  </a:xfrm>
                  <a:prstGeom prst="rect">
                    <a:avLst/>
                  </a:prstGeom>
                </pic:spPr>
              </pic:pic>
            </a:graphicData>
          </a:graphic>
          <wp14:sizeRelH relativeFrom="margin">
            <wp14:pctWidth>0</wp14:pctWidth>
          </wp14:sizeRelH>
          <wp14:sizeRelV relativeFrom="margin">
            <wp14:pctHeight>0</wp14:pctHeight>
          </wp14:sizeRelV>
        </wp:anchor>
      </w:drawing>
    </w:r>
    <w:r w:rsidR="00FE55D5" w:rsidRPr="003A05BF">
      <w:rPr>
        <w:rFonts w:ascii="Open Sans SemiBold" w:hAnsi="Open Sans SemiBold" w:cs="Open Sans SemiBold"/>
        <w:color w:val="3A81D7"/>
        <w:sz w:val="16"/>
        <w:szCs w:val="16"/>
      </w:rPr>
      <w:t xml:space="preserve">Avenue Galilée, 5/2 · 1210 Bruxelles </w:t>
    </w:r>
    <w:r w:rsidR="002B53AC" w:rsidRPr="00FE55D5">
      <w:rPr>
        <w:rFonts w:ascii="Open Sans SemiBold" w:hAnsi="Open Sans SemiBold" w:cs="Open Sans SemiBold"/>
        <w:color w:val="3A81D7"/>
        <w:sz w:val="16"/>
        <w:szCs w:val="16"/>
      </w:rPr>
      <w:t>·</w:t>
    </w:r>
    <w:r w:rsidR="00EE19A1" w:rsidRPr="00FE55D5">
      <w:rPr>
        <w:rFonts w:ascii="Open Sans SemiBold" w:hAnsi="Open Sans SemiBold" w:cs="Open Sans SemiBold"/>
        <w:color w:val="3A81D7"/>
        <w:sz w:val="16"/>
        <w:szCs w:val="16"/>
      </w:rPr>
      <w:t xml:space="preserve"> </w:t>
    </w:r>
    <w:r w:rsidR="002A1089" w:rsidRPr="00FE55D5">
      <w:rPr>
        <w:rFonts w:ascii="Open Sans SemiBold" w:hAnsi="Open Sans SemiBold" w:cs="Open Sans SemiBold"/>
        <w:color w:val="3A81D7"/>
        <w:sz w:val="16"/>
        <w:szCs w:val="16"/>
      </w:rPr>
      <w:t xml:space="preserve">www.health.belgium.be </w:t>
    </w:r>
    <w:r w:rsidR="00861492" w:rsidRPr="00FE55D5">
      <w:rPr>
        <w:rFonts w:ascii="Open Sans SemiBold" w:hAnsi="Open Sans SemiBold" w:cs="Open Sans SemiBold"/>
        <w:color w:val="3A81D7"/>
        <w:sz w:val="16"/>
        <w:szCs w:val="16"/>
      </w:rPr>
      <w:t xml:space="preserve">     </w:t>
    </w:r>
    <w:r w:rsidR="002A1089">
      <w:rPr>
        <w:rFonts w:ascii="Open Sans SemiBold" w:hAnsi="Open Sans SemiBold" w:cs="Open Sans SemiBold"/>
        <w:color w:val="3A81D7"/>
        <w:sz w:val="16"/>
        <w:szCs w:val="16"/>
      </w:rPr>
      <w:ptab w:relativeTo="margin" w:alignment="right" w:leader="none"/>
    </w:r>
    <w:r w:rsidR="002A1089" w:rsidRPr="002A1089">
      <w:rPr>
        <w:rFonts w:ascii="Open Sans SemiBold" w:hAnsi="Open Sans SemiBold" w:cs="Open Sans SemiBold"/>
        <w:color w:val="3A81D7"/>
        <w:sz w:val="16"/>
        <w:szCs w:val="16"/>
      </w:rPr>
      <w:fldChar w:fldCharType="begin"/>
    </w:r>
    <w:r w:rsidR="002A1089" w:rsidRPr="00FE55D5">
      <w:rPr>
        <w:rFonts w:ascii="Open Sans SemiBold" w:hAnsi="Open Sans SemiBold" w:cs="Open Sans SemiBold"/>
        <w:color w:val="3A81D7"/>
        <w:sz w:val="16"/>
        <w:szCs w:val="16"/>
      </w:rPr>
      <w:instrText xml:space="preserve"> PAGE   \* MERGEFORMAT </w:instrText>
    </w:r>
    <w:r w:rsidR="002A1089" w:rsidRPr="002A1089">
      <w:rPr>
        <w:rFonts w:ascii="Open Sans SemiBold" w:hAnsi="Open Sans SemiBold" w:cs="Open Sans SemiBold"/>
        <w:color w:val="3A81D7"/>
        <w:sz w:val="16"/>
        <w:szCs w:val="16"/>
      </w:rPr>
      <w:fldChar w:fldCharType="separate"/>
    </w:r>
    <w:r w:rsidR="002A1089" w:rsidRPr="00FE55D5">
      <w:rPr>
        <w:rFonts w:ascii="Open Sans SemiBold" w:hAnsi="Open Sans SemiBold" w:cs="Open Sans SemiBold"/>
        <w:noProof/>
        <w:color w:val="3A81D7"/>
        <w:sz w:val="16"/>
        <w:szCs w:val="16"/>
      </w:rPr>
      <w:t>1</w:t>
    </w:r>
    <w:r w:rsidR="002A1089" w:rsidRPr="002A1089">
      <w:rPr>
        <w:rFonts w:ascii="Open Sans SemiBold" w:hAnsi="Open Sans SemiBold" w:cs="Open Sans SemiBold"/>
        <w:noProof/>
        <w:color w:val="3A81D7"/>
        <w:sz w:val="16"/>
        <w:szCs w:val="16"/>
      </w:rPr>
      <w:fldChar w:fldCharType="end"/>
    </w:r>
    <w:r w:rsidR="00861492" w:rsidRPr="00FE55D5">
      <w:rPr>
        <w:rFonts w:ascii="Open Sans SemiBold" w:hAnsi="Open Sans SemiBold" w:cs="Open Sans SemiBold"/>
        <w:color w:val="3A81D7"/>
        <w:sz w:val="16"/>
        <w:szCs w:val="16"/>
      </w:rPr>
      <w:t xml:space="preserve">     </w:t>
    </w:r>
    <w:r w:rsidR="002A1089" w:rsidRPr="00FE55D5">
      <w:rPr>
        <w:rFonts w:ascii="Open Sans SemiBold" w:hAnsi="Open Sans SemiBold" w:cs="Open Sans SemiBold"/>
        <w:color w:val="3A81D7"/>
        <w:sz w:val="16"/>
        <w:szCs w:val="16"/>
      </w:rPr>
      <w:tab/>
    </w:r>
    <w:r w:rsidR="00861492" w:rsidRPr="00FE55D5">
      <w:rPr>
        <w:rFonts w:ascii="Open Sans SemiBold" w:hAnsi="Open Sans SemiBold" w:cs="Open Sans SemiBold"/>
        <w:color w:val="3A81D7"/>
        <w:sz w:val="16"/>
        <w:szCs w:val="16"/>
      </w:rPr>
      <w:t xml:space="preserve"> </w:t>
    </w:r>
    <w:r w:rsidR="00861492" w:rsidRPr="00FE55D5">
      <w:rPr>
        <w:rFonts w:ascii="Open Sans SemiBold" w:hAnsi="Open Sans SemiBold" w:cs="Open Sans SemiBold"/>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A2A3" w14:textId="77777777" w:rsidR="006E3F7A" w:rsidRDefault="006E3F7A" w:rsidP="002B53AC">
      <w:pPr>
        <w:spacing w:after="0" w:line="240" w:lineRule="auto"/>
      </w:pPr>
      <w:r>
        <w:separator/>
      </w:r>
    </w:p>
  </w:footnote>
  <w:footnote w:type="continuationSeparator" w:id="0">
    <w:p w14:paraId="366C39ED" w14:textId="77777777" w:rsidR="006E3F7A" w:rsidRDefault="006E3F7A" w:rsidP="002B53AC">
      <w:pPr>
        <w:spacing w:after="0" w:line="240" w:lineRule="auto"/>
      </w:pPr>
      <w:r>
        <w:continuationSeparator/>
      </w:r>
    </w:p>
  </w:footnote>
  <w:footnote w:id="1">
    <w:p w14:paraId="5D9C8FBF" w14:textId="1AD2CED5" w:rsidR="00D001D9" w:rsidRPr="00D001D9" w:rsidRDefault="00D001D9">
      <w:pPr>
        <w:pStyle w:val="Notedebasdepage"/>
      </w:pPr>
      <w:r w:rsidRPr="00D001D9">
        <w:rPr>
          <w:rStyle w:val="Appelnotedebasdep"/>
        </w:rPr>
        <w:footnoteRef/>
      </w:r>
      <w:r w:rsidRPr="00D001D9">
        <w:t xml:space="preserve"> Arrêté royal du 9 février 2020 relatif à l'enregistrement des déclarations de volonté concernant le prélèvement de matériel corporel humain, y compris les organes, après le décès.</w:t>
      </w:r>
    </w:p>
  </w:footnote>
  <w:footnote w:id="2">
    <w:p w14:paraId="7E00DBC5" w14:textId="00BAA9D2" w:rsidR="005B6CF5" w:rsidRDefault="005B6CF5" w:rsidP="00290613">
      <w:pPr>
        <w:pStyle w:val="Notedebasdepage"/>
        <w:jc w:val="both"/>
      </w:pPr>
      <w:r>
        <w:rPr>
          <w:rStyle w:val="Appelnotedebasdep"/>
        </w:rPr>
        <w:footnoteRef/>
      </w:r>
      <w:r>
        <w:t xml:space="preserve"> </w:t>
      </w:r>
      <w:r w:rsidRPr="00290613">
        <w:rPr>
          <w:rFonts w:cstheme="minorHAnsi"/>
        </w:rPr>
        <w:t>En vertu de l’</w:t>
      </w:r>
      <w:r w:rsidR="00290613" w:rsidRPr="00290613">
        <w:rPr>
          <w:rFonts w:cstheme="minorHAnsi"/>
        </w:rPr>
        <w:t>avis 93/2019 du 3 avril 2019</w:t>
      </w:r>
      <w:r w:rsidR="00290613">
        <w:rPr>
          <w:rFonts w:cstheme="minorHAnsi"/>
        </w:rPr>
        <w:t xml:space="preserve"> de l’Autorité de protection des données</w:t>
      </w:r>
      <w:r w:rsidR="00290613" w:rsidRPr="00290613">
        <w:rPr>
          <w:rFonts w:cstheme="minorHAnsi"/>
        </w:rPr>
        <w:t xml:space="preserve"> ainsi que</w:t>
      </w:r>
      <w:r w:rsidR="00290613">
        <w:rPr>
          <w:rFonts w:cstheme="minorHAnsi"/>
        </w:rPr>
        <w:t xml:space="preserve"> de </w:t>
      </w:r>
      <w:r w:rsidR="00290613" w:rsidRPr="00290613">
        <w:rPr>
          <w:rFonts w:cstheme="minorHAnsi"/>
        </w:rPr>
        <w:t xml:space="preserve"> l</w:t>
      </w:r>
      <w:r w:rsidR="00290613">
        <w:rPr>
          <w:rFonts w:cstheme="minorHAnsi"/>
        </w:rPr>
        <w:t xml:space="preserve">’avis du </w:t>
      </w:r>
      <w:r w:rsidR="00290613" w:rsidRPr="00290613">
        <w:rPr>
          <w:rFonts w:cstheme="minorHAnsi"/>
        </w:rPr>
        <w:t>Conseil d’Etat n° 66.443/1/V du 29 août 2019</w:t>
      </w:r>
      <w:r w:rsidR="00290613">
        <w:rPr>
          <w:rFonts w:cstheme="minorHAnsi"/>
        </w:rPr>
        <w:t xml:space="preserve">, nous avons été contraint de fixer le cadre du traitement de données </w:t>
      </w:r>
      <w:proofErr w:type="spellStart"/>
      <w:r w:rsidR="00290613">
        <w:rPr>
          <w:rFonts w:cstheme="minorHAnsi"/>
        </w:rPr>
        <w:t>Orgadon</w:t>
      </w:r>
      <w:proofErr w:type="spellEnd"/>
      <w:r w:rsidR="00290613">
        <w:rPr>
          <w:rFonts w:cstheme="minorHAnsi"/>
        </w:rPr>
        <w:t xml:space="preserve"> dans la loi même et non plus dans un arrêté royal.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7DB2" w14:textId="3D507A56" w:rsidR="002B53AC" w:rsidRDefault="002B53AC" w:rsidP="00553695">
    <w:pPr>
      <w:pStyle w:val="En-tte"/>
      <w:tabs>
        <w:tab w:val="left" w:pos="709"/>
      </w:tabs>
      <w:spacing w:before="100" w:beforeAutospacing="1" w:after="120"/>
      <w:ind w:left="-510"/>
    </w:pPr>
    <w:r>
      <w:rPr>
        <w:noProof/>
      </w:rPr>
      <w:drawing>
        <wp:anchor distT="0" distB="0" distL="114300" distR="114300" simplePos="0" relativeHeight="251657216" behindDoc="0" locked="0" layoutInCell="1" allowOverlap="1" wp14:anchorId="00E9E87F" wp14:editId="7F143D67">
          <wp:simplePos x="0" y="0"/>
          <wp:positionH relativeFrom="leftMargin">
            <wp:posOffset>136358</wp:posOffset>
          </wp:positionH>
          <wp:positionV relativeFrom="page">
            <wp:posOffset>112295</wp:posOffset>
          </wp:positionV>
          <wp:extent cx="3571711" cy="10966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71711" cy="1096644"/>
                  </a:xfrm>
                  <a:prstGeom prst="rect">
                    <a:avLst/>
                  </a:prstGeom>
                </pic:spPr>
              </pic:pic>
            </a:graphicData>
          </a:graphic>
          <wp14:sizeRelH relativeFrom="page">
            <wp14:pctWidth>0</wp14:pctWidth>
          </wp14:sizeRelH>
          <wp14:sizeRelV relativeFrom="page">
            <wp14:pctHeight>0</wp14:pctHeight>
          </wp14:sizeRelV>
        </wp:anchor>
      </w:drawing>
    </w:r>
  </w:p>
  <w:p w14:paraId="1F906B34" w14:textId="77777777" w:rsidR="002B53AC" w:rsidRDefault="002B53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A43"/>
    <w:multiLevelType w:val="hybridMultilevel"/>
    <w:tmpl w:val="EC3AEAA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4B7974"/>
    <w:multiLevelType w:val="hybridMultilevel"/>
    <w:tmpl w:val="60528E04"/>
    <w:lvl w:ilvl="0" w:tplc="5D6C8C2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FB10451"/>
    <w:multiLevelType w:val="multilevel"/>
    <w:tmpl w:val="BB8A2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23485"/>
    <w:multiLevelType w:val="hybridMultilevel"/>
    <w:tmpl w:val="103C4334"/>
    <w:lvl w:ilvl="0" w:tplc="3774C324">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2B452356"/>
    <w:multiLevelType w:val="hybridMultilevel"/>
    <w:tmpl w:val="C8B680B0"/>
    <w:lvl w:ilvl="0" w:tplc="FD28AA6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E0C2C2A"/>
    <w:multiLevelType w:val="hybridMultilevel"/>
    <w:tmpl w:val="778CA088"/>
    <w:lvl w:ilvl="0" w:tplc="89DE944A">
      <w:start w:val="16"/>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3D7E5D8E"/>
    <w:multiLevelType w:val="multilevel"/>
    <w:tmpl w:val="BB8A2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766E3C"/>
    <w:multiLevelType w:val="hybridMultilevel"/>
    <w:tmpl w:val="F44A86CE"/>
    <w:lvl w:ilvl="0" w:tplc="81587B7E">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5F3F4E74"/>
    <w:multiLevelType w:val="hybridMultilevel"/>
    <w:tmpl w:val="2214DCBA"/>
    <w:lvl w:ilvl="0" w:tplc="C172CB3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B44A3A"/>
    <w:multiLevelType w:val="hybridMultilevel"/>
    <w:tmpl w:val="01FECAC2"/>
    <w:lvl w:ilvl="0" w:tplc="240A18C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FF6194F"/>
    <w:multiLevelType w:val="hybridMultilevel"/>
    <w:tmpl w:val="8836E938"/>
    <w:lvl w:ilvl="0" w:tplc="D7940AB2">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99A6D66"/>
    <w:multiLevelType w:val="hybridMultilevel"/>
    <w:tmpl w:val="03E27630"/>
    <w:lvl w:ilvl="0" w:tplc="5054FDB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21122728">
    <w:abstractNumId w:val="0"/>
  </w:num>
  <w:num w:numId="2" w16cid:durableId="1300460067">
    <w:abstractNumId w:val="10"/>
  </w:num>
  <w:num w:numId="3" w16cid:durableId="453404344">
    <w:abstractNumId w:val="6"/>
  </w:num>
  <w:num w:numId="4" w16cid:durableId="1736126207">
    <w:abstractNumId w:val="11"/>
  </w:num>
  <w:num w:numId="5" w16cid:durableId="1474133747">
    <w:abstractNumId w:val="2"/>
  </w:num>
  <w:num w:numId="6" w16cid:durableId="138619403">
    <w:abstractNumId w:val="1"/>
  </w:num>
  <w:num w:numId="7" w16cid:durableId="1056926833">
    <w:abstractNumId w:val="3"/>
  </w:num>
  <w:num w:numId="8" w16cid:durableId="1364134842">
    <w:abstractNumId w:val="9"/>
  </w:num>
  <w:num w:numId="9" w16cid:durableId="471606443">
    <w:abstractNumId w:val="4"/>
  </w:num>
  <w:num w:numId="10" w16cid:durableId="337193337">
    <w:abstractNumId w:val="5"/>
  </w:num>
  <w:num w:numId="11" w16cid:durableId="889343837">
    <w:abstractNumId w:val="8"/>
  </w:num>
  <w:num w:numId="12" w16cid:durableId="1306006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3D"/>
    <w:rsid w:val="00001F34"/>
    <w:rsid w:val="0002581A"/>
    <w:rsid w:val="0002784D"/>
    <w:rsid w:val="00063BB8"/>
    <w:rsid w:val="00072F49"/>
    <w:rsid w:val="000803D7"/>
    <w:rsid w:val="00093F7E"/>
    <w:rsid w:val="000B4C6C"/>
    <w:rsid w:val="000B5F2A"/>
    <w:rsid w:val="000E370E"/>
    <w:rsid w:val="000E6E3A"/>
    <w:rsid w:val="000F20C2"/>
    <w:rsid w:val="00102A38"/>
    <w:rsid w:val="00113EBA"/>
    <w:rsid w:val="00120FA9"/>
    <w:rsid w:val="00142C5C"/>
    <w:rsid w:val="0016225F"/>
    <w:rsid w:val="0016412E"/>
    <w:rsid w:val="00166BE7"/>
    <w:rsid w:val="001705F8"/>
    <w:rsid w:val="00177F9E"/>
    <w:rsid w:val="001807D5"/>
    <w:rsid w:val="0019205D"/>
    <w:rsid w:val="001C3BD1"/>
    <w:rsid w:val="001D0EAF"/>
    <w:rsid w:val="001D1D1C"/>
    <w:rsid w:val="001D3C22"/>
    <w:rsid w:val="001D3E1D"/>
    <w:rsid w:val="001E2DC6"/>
    <w:rsid w:val="001E5B18"/>
    <w:rsid w:val="001F741E"/>
    <w:rsid w:val="002005A4"/>
    <w:rsid w:val="002012AE"/>
    <w:rsid w:val="002041C0"/>
    <w:rsid w:val="002103D2"/>
    <w:rsid w:val="00216010"/>
    <w:rsid w:val="00225D47"/>
    <w:rsid w:val="00232CEA"/>
    <w:rsid w:val="00233743"/>
    <w:rsid w:val="00234457"/>
    <w:rsid w:val="00241502"/>
    <w:rsid w:val="00250B4B"/>
    <w:rsid w:val="00251911"/>
    <w:rsid w:val="0026463D"/>
    <w:rsid w:val="00290613"/>
    <w:rsid w:val="00294F42"/>
    <w:rsid w:val="00294F58"/>
    <w:rsid w:val="002A1089"/>
    <w:rsid w:val="002A1F6A"/>
    <w:rsid w:val="002B537E"/>
    <w:rsid w:val="002B53AC"/>
    <w:rsid w:val="002D5A7D"/>
    <w:rsid w:val="002E2E0D"/>
    <w:rsid w:val="002F1FCD"/>
    <w:rsid w:val="002F6285"/>
    <w:rsid w:val="002F6975"/>
    <w:rsid w:val="0030426B"/>
    <w:rsid w:val="00307251"/>
    <w:rsid w:val="0032070E"/>
    <w:rsid w:val="00325C0C"/>
    <w:rsid w:val="003412B6"/>
    <w:rsid w:val="00342144"/>
    <w:rsid w:val="003431BE"/>
    <w:rsid w:val="003444C2"/>
    <w:rsid w:val="0035521E"/>
    <w:rsid w:val="00355F15"/>
    <w:rsid w:val="00371C88"/>
    <w:rsid w:val="003759F1"/>
    <w:rsid w:val="00381560"/>
    <w:rsid w:val="003821AB"/>
    <w:rsid w:val="003821C0"/>
    <w:rsid w:val="00384CCF"/>
    <w:rsid w:val="00392655"/>
    <w:rsid w:val="00392742"/>
    <w:rsid w:val="00397EA7"/>
    <w:rsid w:val="003A05BF"/>
    <w:rsid w:val="003A4373"/>
    <w:rsid w:val="003B739F"/>
    <w:rsid w:val="003C418D"/>
    <w:rsid w:val="003E3B28"/>
    <w:rsid w:val="003F036D"/>
    <w:rsid w:val="00406F00"/>
    <w:rsid w:val="00415022"/>
    <w:rsid w:val="00416091"/>
    <w:rsid w:val="00433FFD"/>
    <w:rsid w:val="00437536"/>
    <w:rsid w:val="00447849"/>
    <w:rsid w:val="00450CDF"/>
    <w:rsid w:val="00454B97"/>
    <w:rsid w:val="00464C35"/>
    <w:rsid w:val="004668A1"/>
    <w:rsid w:val="0046799B"/>
    <w:rsid w:val="00470040"/>
    <w:rsid w:val="00472C0C"/>
    <w:rsid w:val="00473DB9"/>
    <w:rsid w:val="004749A1"/>
    <w:rsid w:val="004A2111"/>
    <w:rsid w:val="004A2DFE"/>
    <w:rsid w:val="004B3791"/>
    <w:rsid w:val="004B453A"/>
    <w:rsid w:val="004B6A54"/>
    <w:rsid w:val="004D0B21"/>
    <w:rsid w:val="004D632C"/>
    <w:rsid w:val="004E07DA"/>
    <w:rsid w:val="004E29AF"/>
    <w:rsid w:val="004E553F"/>
    <w:rsid w:val="004F3D2E"/>
    <w:rsid w:val="004F59B8"/>
    <w:rsid w:val="00500ACC"/>
    <w:rsid w:val="005022FE"/>
    <w:rsid w:val="00502CD0"/>
    <w:rsid w:val="005042C4"/>
    <w:rsid w:val="00515258"/>
    <w:rsid w:val="00522B3D"/>
    <w:rsid w:val="0052787A"/>
    <w:rsid w:val="0053590B"/>
    <w:rsid w:val="00537A00"/>
    <w:rsid w:val="00550034"/>
    <w:rsid w:val="00553695"/>
    <w:rsid w:val="00573655"/>
    <w:rsid w:val="00575FB1"/>
    <w:rsid w:val="00590D11"/>
    <w:rsid w:val="005B0985"/>
    <w:rsid w:val="005B213D"/>
    <w:rsid w:val="005B54B7"/>
    <w:rsid w:val="005B6CF5"/>
    <w:rsid w:val="005C0D82"/>
    <w:rsid w:val="005D0F76"/>
    <w:rsid w:val="005D6F00"/>
    <w:rsid w:val="005E6B5A"/>
    <w:rsid w:val="005F175D"/>
    <w:rsid w:val="005F2B77"/>
    <w:rsid w:val="00604654"/>
    <w:rsid w:val="00607B75"/>
    <w:rsid w:val="00617A8C"/>
    <w:rsid w:val="006228E8"/>
    <w:rsid w:val="00623ED1"/>
    <w:rsid w:val="00625497"/>
    <w:rsid w:val="00630166"/>
    <w:rsid w:val="00642421"/>
    <w:rsid w:val="00646761"/>
    <w:rsid w:val="006470F0"/>
    <w:rsid w:val="006524DE"/>
    <w:rsid w:val="0065300C"/>
    <w:rsid w:val="006542CC"/>
    <w:rsid w:val="00675977"/>
    <w:rsid w:val="00690A9B"/>
    <w:rsid w:val="006918CB"/>
    <w:rsid w:val="006A1B2E"/>
    <w:rsid w:val="006A7DB0"/>
    <w:rsid w:val="006B23B0"/>
    <w:rsid w:val="006C5ADB"/>
    <w:rsid w:val="006E3F7A"/>
    <w:rsid w:val="006E792D"/>
    <w:rsid w:val="006E7947"/>
    <w:rsid w:val="006F0F89"/>
    <w:rsid w:val="006F500A"/>
    <w:rsid w:val="006F707E"/>
    <w:rsid w:val="0070172D"/>
    <w:rsid w:val="0070774D"/>
    <w:rsid w:val="007307D9"/>
    <w:rsid w:val="007354AB"/>
    <w:rsid w:val="00742816"/>
    <w:rsid w:val="00743F93"/>
    <w:rsid w:val="00745DB0"/>
    <w:rsid w:val="00774A92"/>
    <w:rsid w:val="00780460"/>
    <w:rsid w:val="00780859"/>
    <w:rsid w:val="00786ED3"/>
    <w:rsid w:val="0079121B"/>
    <w:rsid w:val="007960E2"/>
    <w:rsid w:val="007A42DE"/>
    <w:rsid w:val="007A4717"/>
    <w:rsid w:val="007C1F43"/>
    <w:rsid w:val="007C78CA"/>
    <w:rsid w:val="007D6EA0"/>
    <w:rsid w:val="007E1ECF"/>
    <w:rsid w:val="007E2477"/>
    <w:rsid w:val="007F0A3E"/>
    <w:rsid w:val="007F6A1A"/>
    <w:rsid w:val="007F6F96"/>
    <w:rsid w:val="00806227"/>
    <w:rsid w:val="00814110"/>
    <w:rsid w:val="00822B4C"/>
    <w:rsid w:val="008377E6"/>
    <w:rsid w:val="00844438"/>
    <w:rsid w:val="00855C84"/>
    <w:rsid w:val="008563BE"/>
    <w:rsid w:val="00861492"/>
    <w:rsid w:val="008631A5"/>
    <w:rsid w:val="00864EB1"/>
    <w:rsid w:val="00875C09"/>
    <w:rsid w:val="00885ADD"/>
    <w:rsid w:val="00896E27"/>
    <w:rsid w:val="008A74E8"/>
    <w:rsid w:val="008B4573"/>
    <w:rsid w:val="008E2BF5"/>
    <w:rsid w:val="008E737F"/>
    <w:rsid w:val="008F4386"/>
    <w:rsid w:val="008F5E0C"/>
    <w:rsid w:val="00900CA6"/>
    <w:rsid w:val="00916739"/>
    <w:rsid w:val="00927BE1"/>
    <w:rsid w:val="00927E5B"/>
    <w:rsid w:val="00935355"/>
    <w:rsid w:val="00935968"/>
    <w:rsid w:val="0093630F"/>
    <w:rsid w:val="009475EB"/>
    <w:rsid w:val="009518B1"/>
    <w:rsid w:val="0095448E"/>
    <w:rsid w:val="009636E4"/>
    <w:rsid w:val="009A71CA"/>
    <w:rsid w:val="009B400D"/>
    <w:rsid w:val="009B51EA"/>
    <w:rsid w:val="009B732C"/>
    <w:rsid w:val="009D3823"/>
    <w:rsid w:val="009D5198"/>
    <w:rsid w:val="009D581E"/>
    <w:rsid w:val="009F735E"/>
    <w:rsid w:val="00A14EC1"/>
    <w:rsid w:val="00A2627F"/>
    <w:rsid w:val="00A3100D"/>
    <w:rsid w:val="00A311A1"/>
    <w:rsid w:val="00A47B3B"/>
    <w:rsid w:val="00A51A9F"/>
    <w:rsid w:val="00A82F8E"/>
    <w:rsid w:val="00AB30E8"/>
    <w:rsid w:val="00AC406D"/>
    <w:rsid w:val="00AE0C02"/>
    <w:rsid w:val="00AF05FF"/>
    <w:rsid w:val="00AF3B0A"/>
    <w:rsid w:val="00AF4718"/>
    <w:rsid w:val="00AF7531"/>
    <w:rsid w:val="00AF7E2E"/>
    <w:rsid w:val="00B02511"/>
    <w:rsid w:val="00B15F60"/>
    <w:rsid w:val="00B27993"/>
    <w:rsid w:val="00B33B77"/>
    <w:rsid w:val="00B37362"/>
    <w:rsid w:val="00B4041A"/>
    <w:rsid w:val="00B42CB6"/>
    <w:rsid w:val="00B446A7"/>
    <w:rsid w:val="00B50A27"/>
    <w:rsid w:val="00B638F1"/>
    <w:rsid w:val="00B66392"/>
    <w:rsid w:val="00B67032"/>
    <w:rsid w:val="00B70E28"/>
    <w:rsid w:val="00B9129F"/>
    <w:rsid w:val="00B97652"/>
    <w:rsid w:val="00BC20E2"/>
    <w:rsid w:val="00BC2978"/>
    <w:rsid w:val="00BD0AAB"/>
    <w:rsid w:val="00BE58EB"/>
    <w:rsid w:val="00C054CF"/>
    <w:rsid w:val="00C2099C"/>
    <w:rsid w:val="00C24484"/>
    <w:rsid w:val="00C346B2"/>
    <w:rsid w:val="00C35515"/>
    <w:rsid w:val="00C40133"/>
    <w:rsid w:val="00C419B8"/>
    <w:rsid w:val="00C42017"/>
    <w:rsid w:val="00C80170"/>
    <w:rsid w:val="00C9213F"/>
    <w:rsid w:val="00C92FA9"/>
    <w:rsid w:val="00CA0BD2"/>
    <w:rsid w:val="00CC3829"/>
    <w:rsid w:val="00CC5A7F"/>
    <w:rsid w:val="00CD7AF9"/>
    <w:rsid w:val="00CE4609"/>
    <w:rsid w:val="00CE75C2"/>
    <w:rsid w:val="00CF4824"/>
    <w:rsid w:val="00D001D9"/>
    <w:rsid w:val="00D00FAB"/>
    <w:rsid w:val="00D13B3E"/>
    <w:rsid w:val="00D14F97"/>
    <w:rsid w:val="00D50628"/>
    <w:rsid w:val="00D543CE"/>
    <w:rsid w:val="00D559A0"/>
    <w:rsid w:val="00D612FE"/>
    <w:rsid w:val="00D628D2"/>
    <w:rsid w:val="00D63FF1"/>
    <w:rsid w:val="00D66319"/>
    <w:rsid w:val="00D806C6"/>
    <w:rsid w:val="00D91F41"/>
    <w:rsid w:val="00D922B3"/>
    <w:rsid w:val="00DA54AF"/>
    <w:rsid w:val="00DA5810"/>
    <w:rsid w:val="00DA69BA"/>
    <w:rsid w:val="00DB2386"/>
    <w:rsid w:val="00DB3759"/>
    <w:rsid w:val="00DC081F"/>
    <w:rsid w:val="00DC5C71"/>
    <w:rsid w:val="00DF0859"/>
    <w:rsid w:val="00DF2CBB"/>
    <w:rsid w:val="00E02CC8"/>
    <w:rsid w:val="00E07BD2"/>
    <w:rsid w:val="00E24C57"/>
    <w:rsid w:val="00E35A3A"/>
    <w:rsid w:val="00E416EC"/>
    <w:rsid w:val="00E45ACE"/>
    <w:rsid w:val="00E46812"/>
    <w:rsid w:val="00E60E1F"/>
    <w:rsid w:val="00E6388B"/>
    <w:rsid w:val="00E714F6"/>
    <w:rsid w:val="00E81DCC"/>
    <w:rsid w:val="00E84C79"/>
    <w:rsid w:val="00E87C6B"/>
    <w:rsid w:val="00EA2419"/>
    <w:rsid w:val="00EB6DB1"/>
    <w:rsid w:val="00EC7802"/>
    <w:rsid w:val="00ED1472"/>
    <w:rsid w:val="00ED31B0"/>
    <w:rsid w:val="00EE19A1"/>
    <w:rsid w:val="00EF7709"/>
    <w:rsid w:val="00F209E4"/>
    <w:rsid w:val="00F26717"/>
    <w:rsid w:val="00F40AB9"/>
    <w:rsid w:val="00F65F54"/>
    <w:rsid w:val="00F66756"/>
    <w:rsid w:val="00F75FDD"/>
    <w:rsid w:val="00F7787A"/>
    <w:rsid w:val="00F83947"/>
    <w:rsid w:val="00F87354"/>
    <w:rsid w:val="00F910C9"/>
    <w:rsid w:val="00F92E1E"/>
    <w:rsid w:val="00F9327A"/>
    <w:rsid w:val="00FB7CBD"/>
    <w:rsid w:val="00FC0E8E"/>
    <w:rsid w:val="00FC50D0"/>
    <w:rsid w:val="00FE119E"/>
    <w:rsid w:val="00FE55D5"/>
    <w:rsid w:val="00FF3529"/>
    <w:rsid w:val="00FF7100"/>
    <w:rsid w:val="06A833AA"/>
    <w:rsid w:val="0C1BCF42"/>
    <w:rsid w:val="12F8BAB3"/>
    <w:rsid w:val="45A1A21B"/>
    <w:rsid w:val="4F2F5C04"/>
    <w:rsid w:val="54B2C81B"/>
    <w:rsid w:val="69350E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C18F"/>
  <w15:chartTrackingRefBased/>
  <w15:docId w15:val="{64FD729B-32E4-48D0-926B-01016E6F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53AC"/>
    <w:pPr>
      <w:tabs>
        <w:tab w:val="center" w:pos="4513"/>
        <w:tab w:val="right" w:pos="9026"/>
      </w:tabs>
      <w:spacing w:after="0" w:line="240" w:lineRule="auto"/>
    </w:pPr>
  </w:style>
  <w:style w:type="character" w:customStyle="1" w:styleId="En-tteCar">
    <w:name w:val="En-tête Car"/>
    <w:basedOn w:val="Policepardfaut"/>
    <w:link w:val="En-tte"/>
    <w:uiPriority w:val="99"/>
    <w:rsid w:val="002B53AC"/>
    <w:rPr>
      <w:lang w:val="fr-BE"/>
    </w:rPr>
  </w:style>
  <w:style w:type="paragraph" w:styleId="Pieddepage">
    <w:name w:val="footer"/>
    <w:basedOn w:val="Normal"/>
    <w:link w:val="PieddepageCar"/>
    <w:uiPriority w:val="99"/>
    <w:unhideWhenUsed/>
    <w:rsid w:val="002B53A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B53AC"/>
    <w:rPr>
      <w:lang w:val="fr-BE"/>
    </w:rPr>
  </w:style>
  <w:style w:type="character" w:styleId="Lienhypertexte">
    <w:name w:val="Hyperlink"/>
    <w:basedOn w:val="Policepardfaut"/>
    <w:uiPriority w:val="99"/>
    <w:unhideWhenUsed/>
    <w:rsid w:val="00861492"/>
    <w:rPr>
      <w:color w:val="0563C1" w:themeColor="hyperlink"/>
      <w:u w:val="single"/>
    </w:rPr>
  </w:style>
  <w:style w:type="character" w:styleId="Mentionnonrsolue">
    <w:name w:val="Unresolved Mention"/>
    <w:basedOn w:val="Policepardfaut"/>
    <w:uiPriority w:val="99"/>
    <w:semiHidden/>
    <w:unhideWhenUsed/>
    <w:rsid w:val="00861492"/>
    <w:rPr>
      <w:color w:val="605E5C"/>
      <w:shd w:val="clear" w:color="auto" w:fill="E1DFDD"/>
    </w:rPr>
  </w:style>
  <w:style w:type="paragraph" w:styleId="NormalWeb">
    <w:name w:val="Normal (Web)"/>
    <w:basedOn w:val="Normal"/>
    <w:uiPriority w:val="99"/>
    <w:unhideWhenUsed/>
    <w:rsid w:val="00D66319"/>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Paragraphedeliste">
    <w:name w:val="List Paragraph"/>
    <w:basedOn w:val="Normal"/>
    <w:uiPriority w:val="34"/>
    <w:qFormat/>
    <w:rsid w:val="00F7787A"/>
    <w:pPr>
      <w:ind w:left="720"/>
      <w:contextualSpacing/>
    </w:pPr>
    <w:rPr>
      <w:kern w:val="2"/>
      <w:lang w:val="nl-BE"/>
    </w:rPr>
  </w:style>
  <w:style w:type="paragraph" w:styleId="Sansinterligne">
    <w:name w:val="No Spacing"/>
    <w:uiPriority w:val="1"/>
    <w:qFormat/>
    <w:rsid w:val="00F7787A"/>
    <w:pPr>
      <w:spacing w:after="0" w:line="240" w:lineRule="auto"/>
    </w:pPr>
    <w:rPr>
      <w:kern w:val="2"/>
    </w:rPr>
  </w:style>
  <w:style w:type="paragraph" w:styleId="Notedebasdepage">
    <w:name w:val="footnote text"/>
    <w:basedOn w:val="Normal"/>
    <w:link w:val="NotedebasdepageCar"/>
    <w:uiPriority w:val="99"/>
    <w:unhideWhenUsed/>
    <w:rsid w:val="00E46812"/>
    <w:pPr>
      <w:spacing w:after="0" w:line="240" w:lineRule="auto"/>
    </w:pPr>
    <w:rPr>
      <w:sz w:val="20"/>
      <w:szCs w:val="20"/>
    </w:rPr>
  </w:style>
  <w:style w:type="character" w:customStyle="1" w:styleId="NotedebasdepageCar">
    <w:name w:val="Note de bas de page Car"/>
    <w:basedOn w:val="Policepardfaut"/>
    <w:link w:val="Notedebasdepage"/>
    <w:uiPriority w:val="99"/>
    <w:rsid w:val="00E46812"/>
    <w:rPr>
      <w:sz w:val="20"/>
      <w:szCs w:val="20"/>
      <w:lang w:val="fr-BE"/>
    </w:rPr>
  </w:style>
  <w:style w:type="character" w:styleId="Appelnotedebasdep">
    <w:name w:val="footnote reference"/>
    <w:basedOn w:val="Policepardfaut"/>
    <w:uiPriority w:val="99"/>
    <w:semiHidden/>
    <w:unhideWhenUsed/>
    <w:rsid w:val="00E46812"/>
    <w:rPr>
      <w:vertAlign w:val="superscript"/>
    </w:rPr>
  </w:style>
  <w:style w:type="paragraph" w:styleId="Rvision">
    <w:name w:val="Revision"/>
    <w:hidden/>
    <w:uiPriority w:val="99"/>
    <w:semiHidden/>
    <w:rsid w:val="004E07DA"/>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5504">
      <w:bodyDiv w:val="1"/>
      <w:marLeft w:val="0"/>
      <w:marRight w:val="0"/>
      <w:marTop w:val="0"/>
      <w:marBottom w:val="0"/>
      <w:divBdr>
        <w:top w:val="none" w:sz="0" w:space="0" w:color="auto"/>
        <w:left w:val="none" w:sz="0" w:space="0" w:color="auto"/>
        <w:bottom w:val="none" w:sz="0" w:space="0" w:color="auto"/>
        <w:right w:val="none" w:sz="0" w:space="0" w:color="auto"/>
      </w:divBdr>
    </w:div>
    <w:div w:id="170682262">
      <w:bodyDiv w:val="1"/>
      <w:marLeft w:val="0"/>
      <w:marRight w:val="0"/>
      <w:marTop w:val="0"/>
      <w:marBottom w:val="0"/>
      <w:divBdr>
        <w:top w:val="none" w:sz="0" w:space="0" w:color="auto"/>
        <w:left w:val="none" w:sz="0" w:space="0" w:color="auto"/>
        <w:bottom w:val="none" w:sz="0" w:space="0" w:color="auto"/>
        <w:right w:val="none" w:sz="0" w:space="0" w:color="auto"/>
      </w:divBdr>
    </w:div>
    <w:div w:id="370152201">
      <w:bodyDiv w:val="1"/>
      <w:marLeft w:val="0"/>
      <w:marRight w:val="0"/>
      <w:marTop w:val="0"/>
      <w:marBottom w:val="0"/>
      <w:divBdr>
        <w:top w:val="none" w:sz="0" w:space="0" w:color="auto"/>
        <w:left w:val="none" w:sz="0" w:space="0" w:color="auto"/>
        <w:bottom w:val="none" w:sz="0" w:space="0" w:color="auto"/>
        <w:right w:val="none" w:sz="0" w:space="0" w:color="auto"/>
      </w:divBdr>
    </w:div>
    <w:div w:id="402525803">
      <w:bodyDiv w:val="1"/>
      <w:marLeft w:val="0"/>
      <w:marRight w:val="0"/>
      <w:marTop w:val="0"/>
      <w:marBottom w:val="0"/>
      <w:divBdr>
        <w:top w:val="none" w:sz="0" w:space="0" w:color="auto"/>
        <w:left w:val="none" w:sz="0" w:space="0" w:color="auto"/>
        <w:bottom w:val="none" w:sz="0" w:space="0" w:color="auto"/>
        <w:right w:val="none" w:sz="0" w:space="0" w:color="auto"/>
      </w:divBdr>
    </w:div>
    <w:div w:id="409472756">
      <w:bodyDiv w:val="1"/>
      <w:marLeft w:val="0"/>
      <w:marRight w:val="0"/>
      <w:marTop w:val="0"/>
      <w:marBottom w:val="0"/>
      <w:divBdr>
        <w:top w:val="none" w:sz="0" w:space="0" w:color="auto"/>
        <w:left w:val="none" w:sz="0" w:space="0" w:color="auto"/>
        <w:bottom w:val="none" w:sz="0" w:space="0" w:color="auto"/>
        <w:right w:val="none" w:sz="0" w:space="0" w:color="auto"/>
      </w:divBdr>
    </w:div>
    <w:div w:id="664741878">
      <w:bodyDiv w:val="1"/>
      <w:marLeft w:val="0"/>
      <w:marRight w:val="0"/>
      <w:marTop w:val="0"/>
      <w:marBottom w:val="0"/>
      <w:divBdr>
        <w:top w:val="none" w:sz="0" w:space="0" w:color="auto"/>
        <w:left w:val="none" w:sz="0" w:space="0" w:color="auto"/>
        <w:bottom w:val="none" w:sz="0" w:space="0" w:color="auto"/>
        <w:right w:val="none" w:sz="0" w:space="0" w:color="auto"/>
      </w:divBdr>
    </w:div>
    <w:div w:id="844901971">
      <w:bodyDiv w:val="1"/>
      <w:marLeft w:val="0"/>
      <w:marRight w:val="0"/>
      <w:marTop w:val="0"/>
      <w:marBottom w:val="0"/>
      <w:divBdr>
        <w:top w:val="none" w:sz="0" w:space="0" w:color="auto"/>
        <w:left w:val="none" w:sz="0" w:space="0" w:color="auto"/>
        <w:bottom w:val="none" w:sz="0" w:space="0" w:color="auto"/>
        <w:right w:val="none" w:sz="0" w:space="0" w:color="auto"/>
      </w:divBdr>
    </w:div>
    <w:div w:id="936405004">
      <w:bodyDiv w:val="1"/>
      <w:marLeft w:val="0"/>
      <w:marRight w:val="0"/>
      <w:marTop w:val="0"/>
      <w:marBottom w:val="0"/>
      <w:divBdr>
        <w:top w:val="none" w:sz="0" w:space="0" w:color="auto"/>
        <w:left w:val="none" w:sz="0" w:space="0" w:color="auto"/>
        <w:bottom w:val="none" w:sz="0" w:space="0" w:color="auto"/>
        <w:right w:val="none" w:sz="0" w:space="0" w:color="auto"/>
      </w:divBdr>
    </w:div>
    <w:div w:id="1211918692">
      <w:bodyDiv w:val="1"/>
      <w:marLeft w:val="0"/>
      <w:marRight w:val="0"/>
      <w:marTop w:val="0"/>
      <w:marBottom w:val="0"/>
      <w:divBdr>
        <w:top w:val="none" w:sz="0" w:space="0" w:color="auto"/>
        <w:left w:val="none" w:sz="0" w:space="0" w:color="auto"/>
        <w:bottom w:val="none" w:sz="0" w:space="0" w:color="auto"/>
        <w:right w:val="none" w:sz="0" w:space="0" w:color="auto"/>
      </w:divBdr>
      <w:divsChild>
        <w:div w:id="1034621862">
          <w:marLeft w:val="0"/>
          <w:marRight w:val="0"/>
          <w:marTop w:val="300"/>
          <w:marBottom w:val="300"/>
          <w:divBdr>
            <w:top w:val="none" w:sz="0" w:space="0" w:color="auto"/>
            <w:left w:val="none" w:sz="0" w:space="0" w:color="auto"/>
            <w:bottom w:val="dotted" w:sz="2" w:space="8" w:color="000000"/>
            <w:right w:val="none" w:sz="0" w:space="0" w:color="auto"/>
          </w:divBdr>
        </w:div>
      </w:divsChild>
    </w:div>
    <w:div w:id="1270502010">
      <w:bodyDiv w:val="1"/>
      <w:marLeft w:val="0"/>
      <w:marRight w:val="0"/>
      <w:marTop w:val="0"/>
      <w:marBottom w:val="0"/>
      <w:divBdr>
        <w:top w:val="none" w:sz="0" w:space="0" w:color="auto"/>
        <w:left w:val="none" w:sz="0" w:space="0" w:color="auto"/>
        <w:bottom w:val="none" w:sz="0" w:space="0" w:color="auto"/>
        <w:right w:val="none" w:sz="0" w:space="0" w:color="auto"/>
      </w:divBdr>
    </w:div>
    <w:div w:id="1389299626">
      <w:bodyDiv w:val="1"/>
      <w:marLeft w:val="0"/>
      <w:marRight w:val="0"/>
      <w:marTop w:val="0"/>
      <w:marBottom w:val="0"/>
      <w:divBdr>
        <w:top w:val="none" w:sz="0" w:space="0" w:color="auto"/>
        <w:left w:val="none" w:sz="0" w:space="0" w:color="auto"/>
        <w:bottom w:val="none" w:sz="0" w:space="0" w:color="auto"/>
        <w:right w:val="none" w:sz="0" w:space="0" w:color="auto"/>
      </w:divBdr>
      <w:divsChild>
        <w:div w:id="2126725568">
          <w:marLeft w:val="0"/>
          <w:marRight w:val="-4500"/>
          <w:marTop w:val="0"/>
          <w:marBottom w:val="0"/>
          <w:divBdr>
            <w:top w:val="none" w:sz="0" w:space="0" w:color="auto"/>
            <w:left w:val="none" w:sz="0" w:space="0" w:color="auto"/>
            <w:bottom w:val="none" w:sz="0" w:space="0" w:color="auto"/>
            <w:right w:val="none" w:sz="0" w:space="0" w:color="auto"/>
          </w:divBdr>
        </w:div>
        <w:div w:id="2001351652">
          <w:marLeft w:val="432"/>
          <w:marRight w:val="432"/>
          <w:marTop w:val="150"/>
          <w:marBottom w:val="150"/>
          <w:divBdr>
            <w:top w:val="none" w:sz="0" w:space="0" w:color="auto"/>
            <w:left w:val="none" w:sz="0" w:space="0" w:color="auto"/>
            <w:bottom w:val="none" w:sz="0" w:space="0" w:color="auto"/>
            <w:right w:val="none" w:sz="0" w:space="0" w:color="auto"/>
          </w:divBdr>
        </w:div>
      </w:divsChild>
    </w:div>
    <w:div w:id="1468819470">
      <w:bodyDiv w:val="1"/>
      <w:marLeft w:val="0"/>
      <w:marRight w:val="0"/>
      <w:marTop w:val="0"/>
      <w:marBottom w:val="0"/>
      <w:divBdr>
        <w:top w:val="none" w:sz="0" w:space="0" w:color="auto"/>
        <w:left w:val="none" w:sz="0" w:space="0" w:color="auto"/>
        <w:bottom w:val="none" w:sz="0" w:space="0" w:color="auto"/>
        <w:right w:val="none" w:sz="0" w:space="0" w:color="auto"/>
      </w:divBdr>
    </w:div>
    <w:div w:id="1577860433">
      <w:bodyDiv w:val="1"/>
      <w:marLeft w:val="0"/>
      <w:marRight w:val="0"/>
      <w:marTop w:val="0"/>
      <w:marBottom w:val="0"/>
      <w:divBdr>
        <w:top w:val="none" w:sz="0" w:space="0" w:color="auto"/>
        <w:left w:val="none" w:sz="0" w:space="0" w:color="auto"/>
        <w:bottom w:val="none" w:sz="0" w:space="0" w:color="auto"/>
        <w:right w:val="none" w:sz="0" w:space="0" w:color="auto"/>
      </w:divBdr>
    </w:div>
    <w:div w:id="1749158874">
      <w:bodyDiv w:val="1"/>
      <w:marLeft w:val="0"/>
      <w:marRight w:val="0"/>
      <w:marTop w:val="0"/>
      <w:marBottom w:val="0"/>
      <w:divBdr>
        <w:top w:val="none" w:sz="0" w:space="0" w:color="auto"/>
        <w:left w:val="none" w:sz="0" w:space="0" w:color="auto"/>
        <w:bottom w:val="none" w:sz="0" w:space="0" w:color="auto"/>
        <w:right w:val="none" w:sz="0" w:space="0" w:color="auto"/>
      </w:divBdr>
    </w:div>
    <w:div w:id="1881242850">
      <w:bodyDiv w:val="1"/>
      <w:marLeft w:val="0"/>
      <w:marRight w:val="0"/>
      <w:marTop w:val="0"/>
      <w:marBottom w:val="0"/>
      <w:divBdr>
        <w:top w:val="none" w:sz="0" w:space="0" w:color="auto"/>
        <w:left w:val="none" w:sz="0" w:space="0" w:color="auto"/>
        <w:bottom w:val="none" w:sz="0" w:space="0" w:color="auto"/>
        <w:right w:val="none" w:sz="0" w:space="0" w:color="auto"/>
      </w:divBdr>
    </w:div>
    <w:div w:id="2051489953">
      <w:bodyDiv w:val="1"/>
      <w:marLeft w:val="0"/>
      <w:marRight w:val="0"/>
      <w:marTop w:val="0"/>
      <w:marBottom w:val="0"/>
      <w:divBdr>
        <w:top w:val="none" w:sz="0" w:space="0" w:color="auto"/>
        <w:left w:val="none" w:sz="0" w:space="0" w:color="auto"/>
        <w:bottom w:val="none" w:sz="0" w:space="0" w:color="auto"/>
        <w:right w:val="none" w:sz="0" w:space="0" w:color="auto"/>
      </w:divBdr>
    </w:div>
    <w:div w:id="2127776037">
      <w:bodyDiv w:val="1"/>
      <w:marLeft w:val="0"/>
      <w:marRight w:val="0"/>
      <w:marTop w:val="0"/>
      <w:marBottom w:val="0"/>
      <w:divBdr>
        <w:top w:val="none" w:sz="0" w:space="0" w:color="auto"/>
        <w:left w:val="none" w:sz="0" w:space="0" w:color="auto"/>
        <w:bottom w:val="none" w:sz="0" w:space="0" w:color="auto"/>
        <w:right w:val="none" w:sz="0" w:space="0" w:color="auto"/>
      </w:divBdr>
      <w:divsChild>
        <w:div w:id="747001552">
          <w:marLeft w:val="0"/>
          <w:marRight w:val="-4500"/>
          <w:marTop w:val="0"/>
          <w:marBottom w:val="0"/>
          <w:divBdr>
            <w:top w:val="none" w:sz="0" w:space="0" w:color="auto"/>
            <w:left w:val="none" w:sz="0" w:space="0" w:color="auto"/>
            <w:bottom w:val="none" w:sz="0" w:space="0" w:color="auto"/>
            <w:right w:val="none" w:sz="0" w:space="0" w:color="auto"/>
          </w:divBdr>
        </w:div>
        <w:div w:id="4431138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justice.just.fgov.be/cgi_loi/article.pl?language=fr&amp;sum_date=&amp;pd_search=2018-11-20&amp;numac_search=2018014701&amp;page=&amp;lg_txt=F&amp;caller=article&amp;2018014701=0&amp;dt=LOI&amp;fr=f&amp;text1=soins+palliatifs&amp;choix1=et&amp;trier=promulg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justice.just.fgov.be/cgi_loi/article.pl?language=fr&amp;sum_date=&amp;pd_search=2007-06-07&amp;numac_search=2007022806&amp;page=&amp;lg_txt=F&amp;caller=article&amp;2007022806=1&amp;dt=LOI&amp;fr=f&amp;text1=euthanasie&amp;choix1=et&amp;trier=promulg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justice.just.fgov.be/cgi_loi/article.pl?language=fr&amp;sum_date=&amp;pd_search=2003-05-13&amp;numac_search=2003022490&amp;page=&amp;lg_txt=F&amp;caller=article&amp;2003022490=3&amp;dt=LOI&amp;fr=f&amp;text1=euthanasie&amp;choix1=et&amp;trier=promulg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1B818A2A8B4479CC8ABC7088D1E57" ma:contentTypeVersion="12" ma:contentTypeDescription="Crée un document." ma:contentTypeScope="" ma:versionID="0ddbe7351f92edccde72a9a83e065f3e">
  <xsd:schema xmlns:xsd="http://www.w3.org/2001/XMLSchema" xmlns:xs="http://www.w3.org/2001/XMLSchema" xmlns:p="http://schemas.microsoft.com/office/2006/metadata/properties" xmlns:ns2="1ef17d11-b032-4fa1-94e9-97913f9ea4d4" xmlns:ns3="22e8cdfa-ceb9-46c6-ae4c-f316b957701d" targetNamespace="http://schemas.microsoft.com/office/2006/metadata/properties" ma:root="true" ma:fieldsID="39cb4e5965c60f0aa3a48fd5dc0e2d2e" ns2:_="" ns3:_="">
    <xsd:import namespace="1ef17d11-b032-4fa1-94e9-97913f9ea4d4"/>
    <xsd:import namespace="22e8cdfa-ceb9-46c6-ae4c-f316b9577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17d11-b032-4fa1-94e9-97913f9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7b756-bb6c-42c0-a500-a3c5d40b597f" ma:termSetId="00000000-0000-0000-0000-000000000000"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e8cdfa-ceb9-46c6-ae4c-f316b95770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75ab6-c9c0-4f3c-8f2c-9f08cd8e74bc}" ma:internalName="TaxCatchAll" ma:showField="CatchAllData" ma:web="22e8cdfa-ceb9-46c6-ae4c-f316b9577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e8cdfa-ceb9-46c6-ae4c-f316b957701d" xsi:nil="true"/>
    <lcf76f155ced4ddcb4097134ff3c332f xmlns="1ef17d11-b032-4fa1-94e9-97913f9ea4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BBAFB-CF9E-4DC6-805D-89BECA145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17d11-b032-4fa1-94e9-97913f9ea4d4"/>
    <ds:schemaRef ds:uri="22e8cdfa-ceb9-46c6-ae4c-f316b9577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D63D0-2459-47AC-BDB0-E19D1A4158A3}">
  <ds:schemaRefs>
    <ds:schemaRef ds:uri="http://schemas.openxmlformats.org/officeDocument/2006/bibliography"/>
  </ds:schemaRefs>
</ds:datastoreItem>
</file>

<file path=customXml/itemProps3.xml><?xml version="1.0" encoding="utf-8"?>
<ds:datastoreItem xmlns:ds="http://schemas.openxmlformats.org/officeDocument/2006/customXml" ds:itemID="{12453EAD-7307-49E7-B1FC-4DAD620EE3AD}">
  <ds:schemaRefs>
    <ds:schemaRef ds:uri="http://schemas.microsoft.com/sharepoint/v3/contenttype/forms"/>
  </ds:schemaRefs>
</ds:datastoreItem>
</file>

<file path=customXml/itemProps4.xml><?xml version="1.0" encoding="utf-8"?>
<ds:datastoreItem xmlns:ds="http://schemas.openxmlformats.org/officeDocument/2006/customXml" ds:itemID="{FFECBDFA-F5F7-41E6-B60A-4348E0D62A08}">
  <ds:schemaRefs>
    <ds:schemaRef ds:uri="http://schemas.microsoft.com/office/2006/metadata/properties"/>
    <ds:schemaRef ds:uri="http://schemas.microsoft.com/office/infopath/2007/PartnerControls"/>
    <ds:schemaRef ds:uri="22e8cdfa-ceb9-46c6-ae4c-f316b957701d"/>
    <ds:schemaRef ds:uri="1ef17d11-b032-4fa1-94e9-97913f9ea4d4"/>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2053</Words>
  <Characters>11293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Leclau (SPF Santé Publique - FOD Volksgezondheid)</dc:creator>
  <cp:keywords/>
  <dc:description/>
  <cp:lastModifiedBy>Régine Wilmotte (FOD VVVL - SPF SPSCAE)</cp:lastModifiedBy>
  <cp:revision>3</cp:revision>
  <cp:lastPrinted>2023-08-29T08:37:00Z</cp:lastPrinted>
  <dcterms:created xsi:type="dcterms:W3CDTF">2025-09-30T07:34:00Z</dcterms:created>
  <dcterms:modified xsi:type="dcterms:W3CDTF">2025-09-30T07:37:00Z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0x0101004E41B818A2A8B4479CC8ABC7088D1E57</vt:lpwstr>
  </property>
  <property fmtid="{D5CDD505-2E9C-101B-9397-08002B2CF9AE}" pid="3" name="MediaServiceImageTags">
    <vt:lpwstr/>
  </property>
  <property fmtid="{D5CDD505-2E9C-101B-9397-08002B2CF9AE}" pid="4" name="_dlc_DocIdItemGuid">
    <vt:lpwstr>3c1473f1-f6ca-489e-84db-3865a4bad2c9</vt:lpwstr>
  </property>
  <property fmtid="{D5CDD505-2E9C-101B-9397-08002B2CF9AE}" pid="5" name="Order">
    <vt:r8>6900</vt:r8>
  </property>
  <property fmtid="{D5CDD505-2E9C-101B-9397-08002B2CF9AE}" pid="6" name="_ExtendedDescription">
    <vt:lpwstr/>
  </property>
</Properties>
</file>